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27E34" w:rsidRPr="00ED1574" w:rsidRDefault="00C27E34" w:rsidP="00C27E34">
      <w:pPr>
        <w:tabs>
          <w:tab w:val="center" w:pos="4536"/>
          <w:tab w:val="right" w:pos="7938"/>
          <w:tab w:val="right" w:pos="9639"/>
        </w:tabs>
        <w:ind w:right="2"/>
        <w:rPr>
          <w:rFonts w:ascii="Arial" w:eastAsia="Batang" w:hAnsi="Arial" w:cs="Arial"/>
          <w:b/>
          <w:bCs/>
          <w:sz w:val="28"/>
        </w:rPr>
      </w:pPr>
      <w:bookmarkStart w:id="0" w:name="_Hlk145670493"/>
      <w:r w:rsidRPr="00ED1574">
        <w:rPr>
          <w:rFonts w:ascii="Arial" w:eastAsia="Batang" w:hAnsi="Arial" w:cs="Arial"/>
          <w:b/>
          <w:bCs/>
          <w:sz w:val="28"/>
        </w:rPr>
        <w:t>3GPP TSG RAN WG1 #11</w:t>
      </w:r>
      <w:r>
        <w:rPr>
          <w:rFonts w:ascii="Arial" w:eastAsia="Batang" w:hAnsi="Arial" w:cs="Arial"/>
          <w:b/>
          <w:bCs/>
          <w:sz w:val="28"/>
        </w:rPr>
        <w:t>5</w:t>
      </w:r>
      <w:r w:rsidRPr="00ED1574">
        <w:rPr>
          <w:rFonts w:ascii="Arial" w:eastAsia="Batang" w:hAnsi="Arial" w:cs="Arial"/>
          <w:b/>
          <w:bCs/>
          <w:sz w:val="28"/>
        </w:rPr>
        <w:tab/>
      </w:r>
      <w:r w:rsidRPr="00ED1574">
        <w:rPr>
          <w:rFonts w:ascii="Arial" w:eastAsia="Batang" w:hAnsi="Arial" w:cs="Arial"/>
          <w:b/>
          <w:bCs/>
          <w:sz w:val="28"/>
        </w:rPr>
        <w:tab/>
        <w:t>R1-23</w:t>
      </w:r>
      <w:r w:rsidR="00BB12D2">
        <w:rPr>
          <w:rFonts w:ascii="Arial" w:eastAsia="Batang" w:hAnsi="Arial" w:cs="Arial"/>
          <w:b/>
          <w:bCs/>
          <w:sz w:val="28"/>
        </w:rPr>
        <w:t>11581</w:t>
      </w:r>
    </w:p>
    <w:bookmarkEnd w:id="0"/>
    <w:p w:rsidR="00C27E34" w:rsidRPr="009513AC" w:rsidRDefault="00C27E34" w:rsidP="00C27E3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rsidR="00AD7588" w:rsidRPr="00D86AA7" w:rsidRDefault="00AD7588" w:rsidP="00AD7588">
      <w:pPr>
        <w:tabs>
          <w:tab w:val="center" w:pos="4536"/>
          <w:tab w:val="right" w:pos="9072"/>
        </w:tabs>
        <w:rPr>
          <w:rFonts w:ascii="Arial" w:eastAsia="Batang" w:hAnsi="Arial" w:cs="Arial"/>
          <w:b/>
          <w:bCs/>
          <w:lang w:val="en-GB"/>
        </w:rPr>
      </w:pP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987AEE">
        <w:rPr>
          <w:sz w:val="22"/>
          <w:szCs w:val="22"/>
        </w:rPr>
        <w:t>7.2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987AEE">
        <w:rPr>
          <w:sz w:val="22"/>
          <w:szCs w:val="22"/>
        </w:rPr>
        <w:t xml:space="preserve">Discussion on default beam </w:t>
      </w:r>
      <w:r w:rsidR="008D0AFC">
        <w:rPr>
          <w:sz w:val="22"/>
          <w:szCs w:val="22"/>
        </w:rPr>
        <w:t xml:space="preserve">and pathloss reference signal </w:t>
      </w:r>
      <w:r w:rsidR="00987AEE">
        <w:rPr>
          <w:sz w:val="22"/>
          <w:szCs w:val="22"/>
        </w:rPr>
        <w:t>based on unified TCI framework</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987AEE">
        <w:rPr>
          <w:lang w:val="en-US" w:eastAsia="zh-CN"/>
        </w:rPr>
        <w:t xml:space="preserve">the Rel-16 default beam </w:t>
      </w:r>
      <w:r w:rsidR="008D0AFC">
        <w:rPr>
          <w:lang w:val="en-US" w:eastAsia="zh-CN"/>
        </w:rPr>
        <w:t>and pathloss reference signal</w:t>
      </w:r>
      <w:r w:rsidR="00987AEE">
        <w:rPr>
          <w:lang w:val="en-US" w:eastAsia="zh-CN"/>
        </w:rPr>
        <w:t xml:space="preserve"> based on unified TCI framework</w:t>
      </w:r>
      <w:r>
        <w:rPr>
          <w:lang w:val="en-US"/>
        </w:rPr>
        <w:t>.</w:t>
      </w:r>
      <w:r w:rsidR="00987AEE">
        <w:rPr>
          <w:lang w:val="en-US"/>
        </w:rPr>
        <w:t xml:space="preserve"> </w:t>
      </w:r>
    </w:p>
    <w:p w:rsidR="00557396" w:rsidRDefault="00E07A91" w:rsidP="00557396">
      <w:pPr>
        <w:pStyle w:val="Heading1"/>
      </w:pPr>
      <w:r>
        <w:t>Discussion</w:t>
      </w:r>
    </w:p>
    <w:p w:rsidR="00987AEE" w:rsidRDefault="00987AEE" w:rsidP="00557396">
      <w:pPr>
        <w:pStyle w:val="0Maintext"/>
        <w:spacing w:after="120" w:afterAutospacing="0" w:line="240" w:lineRule="auto"/>
        <w:ind w:firstLine="0"/>
        <w:rPr>
          <w:lang w:val="en-US" w:eastAsia="zh-CN"/>
        </w:rPr>
      </w:pPr>
      <w:r>
        <w:rPr>
          <w:lang w:val="en-US" w:eastAsia="zh-CN"/>
        </w:rPr>
        <w:t xml:space="preserve">In Rel-17, it has been agreed </w:t>
      </w:r>
      <w:r w:rsidR="00D94E83">
        <w:rPr>
          <w:lang w:val="en-US" w:eastAsia="zh-CN"/>
        </w:rPr>
        <w:t xml:space="preserve">as follows </w:t>
      </w:r>
      <w:r>
        <w:rPr>
          <w:lang w:val="en-US" w:eastAsia="zh-CN"/>
        </w:rPr>
        <w:t xml:space="preserve">that for a channel that does not share the indicated unified TCI, the Rel-16 mechanism can be used for beam indication for the channel. For SRS for codebook/non-codebook/antenna switching, the network can configure whether it shares the indicated unified TCI or not by the RRC parameter </w:t>
      </w:r>
      <w:r w:rsidRPr="00987AEE">
        <w:rPr>
          <w:i/>
          <w:iCs/>
          <w:lang w:val="en-US" w:eastAsia="zh-CN"/>
        </w:rPr>
        <w:t>followUnifiedTCI-StateSRS</w:t>
      </w:r>
      <w:r>
        <w:rPr>
          <w:lang w:val="en-US" w:eastAsia="zh-CN"/>
        </w:rPr>
        <w:t>.</w:t>
      </w:r>
    </w:p>
    <w:tbl>
      <w:tblPr>
        <w:tblStyle w:val="TableGrid"/>
        <w:tblW w:w="0" w:type="auto"/>
        <w:tblLook w:val="04A0" w:firstRow="1" w:lastRow="0" w:firstColumn="1" w:lastColumn="0" w:noHBand="0" w:noVBand="1"/>
      </w:tblPr>
      <w:tblGrid>
        <w:gridCol w:w="9010"/>
      </w:tblGrid>
      <w:tr w:rsidR="00D94E83" w:rsidRPr="00D94E83" w:rsidTr="00D94E83">
        <w:tc>
          <w:tcPr>
            <w:tcW w:w="9010" w:type="dxa"/>
          </w:tcPr>
          <w:p w:rsidR="00D94E83" w:rsidRPr="00D94E83" w:rsidRDefault="00D94E83" w:rsidP="00D94E83">
            <w:pPr>
              <w:rPr>
                <w:sz w:val="20"/>
                <w:szCs w:val="20"/>
                <w:lang w:eastAsia="zh-TW"/>
              </w:rPr>
            </w:pPr>
            <w:r w:rsidRPr="00D94E83">
              <w:rPr>
                <w:sz w:val="20"/>
                <w:szCs w:val="20"/>
                <w:highlight w:val="green"/>
                <w:lang w:eastAsia="zh-TW"/>
              </w:rPr>
              <w:t>Agreement</w:t>
            </w:r>
          </w:p>
          <w:p w:rsidR="00D94E83" w:rsidRPr="00D94E83" w:rsidRDefault="00D94E83" w:rsidP="00D94E83">
            <w:pPr>
              <w:rPr>
                <w:sz w:val="20"/>
                <w:szCs w:val="20"/>
                <w:lang w:eastAsia="zh-TW"/>
              </w:rPr>
            </w:pPr>
            <w:r w:rsidRPr="00D94E83">
              <w:rPr>
                <w:sz w:val="20"/>
                <w:szCs w:val="20"/>
                <w:lang w:eastAsia="zh-TW"/>
              </w:rPr>
              <w:t xml:space="preserve">The following working assumption is confirmed with revision in </w:t>
            </w:r>
            <w:r w:rsidRPr="00D94E83">
              <w:rPr>
                <w:color w:val="FF0000"/>
                <w:sz w:val="20"/>
                <w:szCs w:val="20"/>
                <w:lang w:eastAsia="zh-TW"/>
              </w:rPr>
              <w:t>red</w:t>
            </w:r>
            <w:r w:rsidRPr="00D94E83">
              <w:rPr>
                <w:sz w:val="20"/>
                <w:szCs w:val="20"/>
                <w:lang w:eastAsia="zh-TW"/>
              </w:rPr>
              <w:t>.</w:t>
            </w:r>
          </w:p>
          <w:p w:rsidR="00D94E83" w:rsidRPr="00D94E83" w:rsidRDefault="00D94E83" w:rsidP="00D94E83">
            <w:pPr>
              <w:rPr>
                <w:sz w:val="20"/>
                <w:szCs w:val="20"/>
                <w:lang w:eastAsia="zh-TW"/>
              </w:rPr>
            </w:pPr>
            <w:r w:rsidRPr="00D94E83">
              <w:rPr>
                <w:sz w:val="20"/>
                <w:szCs w:val="20"/>
                <w:lang w:eastAsia="zh-TW"/>
              </w:rPr>
              <w:t xml:space="preserve">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w:t>
            </w:r>
            <w:r w:rsidRPr="00DB6294">
              <w:rPr>
                <w:sz w:val="20"/>
                <w:szCs w:val="20"/>
                <w:highlight w:val="yellow"/>
                <w:lang w:eastAsia="zh-TW"/>
              </w:rPr>
              <w:t>Rel-17 mechanism(s) which reuse the Rel-15/16 TCI state update signaling/configuration design(s) are used to update/configure such DL RS(s) with Rel-17 TCI state(s).</w:t>
            </w:r>
          </w:p>
          <w:p w:rsidR="00D94E83" w:rsidRPr="00D94E83" w:rsidRDefault="00D94E83" w:rsidP="00D94E83">
            <w:pPr>
              <w:pStyle w:val="ListParagraph"/>
              <w:numPr>
                <w:ilvl w:val="0"/>
                <w:numId w:val="632"/>
              </w:numPr>
              <w:overflowPunct w:val="0"/>
              <w:autoSpaceDE w:val="0"/>
              <w:autoSpaceDN w:val="0"/>
              <w:adjustRightInd w:val="0"/>
              <w:spacing w:after="180"/>
              <w:ind w:leftChars="0"/>
              <w:contextualSpacing/>
              <w:textAlignment w:val="baseline"/>
              <w:rPr>
                <w:rFonts w:ascii="Times New Roman" w:hAnsi="Times New Roman"/>
                <w:color w:val="FF0000"/>
                <w:szCs w:val="20"/>
                <w:lang w:val="en-US" w:eastAsia="zh-TW"/>
              </w:rPr>
            </w:pPr>
            <w:r w:rsidRPr="00D94E83">
              <w:rPr>
                <w:rFonts w:ascii="Times New Roman" w:hAnsi="Times New Roman"/>
                <w:color w:val="FF0000"/>
                <w:szCs w:val="20"/>
                <w:lang w:val="en-US" w:eastAsia="zh-TW"/>
              </w:rPr>
              <w:t>Applies for both intra-cell and inter-cell beam indication</w:t>
            </w:r>
          </w:p>
        </w:tc>
      </w:tr>
    </w:tbl>
    <w:p w:rsidR="00D94E83" w:rsidRDefault="00D94E83" w:rsidP="00557396">
      <w:pPr>
        <w:pStyle w:val="0Maintext"/>
        <w:spacing w:after="120" w:afterAutospacing="0" w:line="240" w:lineRule="auto"/>
        <w:ind w:firstLine="0"/>
        <w:rPr>
          <w:lang w:val="en-US" w:eastAsia="zh-CN"/>
        </w:rPr>
      </w:pPr>
    </w:p>
    <w:p w:rsidR="00987AEE" w:rsidRDefault="00987AEE" w:rsidP="00557396">
      <w:pPr>
        <w:pStyle w:val="0Maintext"/>
        <w:spacing w:after="120" w:afterAutospacing="0" w:line="240" w:lineRule="auto"/>
        <w:ind w:firstLine="0"/>
        <w:rPr>
          <w:lang w:val="en-US" w:eastAsia="zh-CN"/>
        </w:rPr>
      </w:pPr>
      <w:r>
        <w:rPr>
          <w:lang w:val="en-US" w:eastAsia="zh-CN"/>
        </w:rPr>
        <w:t xml:space="preserve">In Rel-16, a default beam </w:t>
      </w:r>
      <w:r w:rsidR="002528DE">
        <w:rPr>
          <w:lang w:val="en-US" w:eastAsia="zh-CN"/>
        </w:rPr>
        <w:t xml:space="preserve">and pathloss RS </w:t>
      </w:r>
      <w:r>
        <w:rPr>
          <w:lang w:val="en-US" w:eastAsia="zh-CN"/>
        </w:rPr>
        <w:t xml:space="preserve">for SRS is introduced when spatial relation info and pathloss RS </w:t>
      </w:r>
      <w:r w:rsidR="002528DE">
        <w:rPr>
          <w:lang w:val="en-US" w:eastAsia="zh-CN"/>
        </w:rPr>
        <w:t>are</w:t>
      </w:r>
      <w:r>
        <w:rPr>
          <w:lang w:val="en-US" w:eastAsia="zh-CN"/>
        </w:rPr>
        <w:t xml:space="preserve"> not provided. </w:t>
      </w:r>
      <w:r w:rsidR="002528DE">
        <w:rPr>
          <w:lang w:val="en-US" w:eastAsia="zh-CN"/>
        </w:rPr>
        <w:t>Thus, when spatial relation info and pathloss RS are not provided, the UE should transmit the SRS based on a default beam and pathloss RS derived from the TCI state for the CORESET with lowest ID.</w:t>
      </w:r>
    </w:p>
    <w:p w:rsidR="004E7413" w:rsidRDefault="004E7413" w:rsidP="00557396">
      <w:pPr>
        <w:pStyle w:val="0Maintext"/>
        <w:spacing w:after="120" w:afterAutospacing="0" w:line="240" w:lineRule="auto"/>
        <w:ind w:firstLine="0"/>
        <w:rPr>
          <w:lang w:val="en-US" w:eastAsia="zh-CN"/>
        </w:rPr>
      </w:pPr>
      <w:r>
        <w:rPr>
          <w:lang w:val="en-US" w:eastAsia="zh-CN"/>
        </w:rPr>
        <w:t xml:space="preserve">In current 38.213, the default pathloss RS for SRS is defined as follows. When unified TCI is configured, the network cannot configure </w:t>
      </w:r>
      <w:r w:rsidRPr="004E7413">
        <w:rPr>
          <w:i/>
          <w:iCs/>
          <w:lang w:val="en-US" w:eastAsia="zh-CN"/>
        </w:rPr>
        <w:t>spatialRelationInfo</w:t>
      </w:r>
      <w:r>
        <w:rPr>
          <w:lang w:val="en-US" w:eastAsia="zh-CN"/>
        </w:rPr>
        <w:t xml:space="preserve">. Therefore, the default pathloss RS should only be applicable when the unified TCI is not indicated </w:t>
      </w:r>
      <w:r w:rsidR="00AB7A8A">
        <w:rPr>
          <w:lang w:val="en-US" w:eastAsia="zh-CN"/>
        </w:rPr>
        <w:t xml:space="preserve">for the SRS </w:t>
      </w:r>
      <w:r>
        <w:rPr>
          <w:lang w:val="en-US" w:eastAsia="zh-CN"/>
        </w:rPr>
        <w:t xml:space="preserve">instead of when </w:t>
      </w:r>
      <w:r w:rsidRPr="004E7413">
        <w:rPr>
          <w:i/>
          <w:iCs/>
          <w:lang w:val="en-US" w:eastAsia="zh-CN"/>
        </w:rPr>
        <w:t>spatialRelationInfo</w:t>
      </w:r>
      <w:r>
        <w:rPr>
          <w:lang w:val="en-US" w:eastAsia="zh-CN"/>
        </w:rPr>
        <w:t xml:space="preserve"> is not configured. </w:t>
      </w:r>
    </w:p>
    <w:tbl>
      <w:tblPr>
        <w:tblStyle w:val="TableGrid"/>
        <w:tblW w:w="0" w:type="auto"/>
        <w:tblLook w:val="04A0" w:firstRow="1" w:lastRow="0" w:firstColumn="1" w:lastColumn="0" w:noHBand="0" w:noVBand="1"/>
      </w:tblPr>
      <w:tblGrid>
        <w:gridCol w:w="9010"/>
      </w:tblGrid>
      <w:tr w:rsidR="004E7413" w:rsidRPr="004E7413" w:rsidTr="004E7413">
        <w:tc>
          <w:tcPr>
            <w:tcW w:w="9010" w:type="dxa"/>
          </w:tcPr>
          <w:p w:rsidR="004E7413" w:rsidRPr="004E7413" w:rsidRDefault="004E7413" w:rsidP="004E7413">
            <w:pPr>
              <w:pStyle w:val="B2"/>
            </w:pPr>
            <w:r w:rsidRPr="004E7413">
              <w:rPr>
                <w:lang w:val="en-US" w:eastAsia="zh-CN"/>
              </w:rPr>
              <w:t xml:space="preserve"> </w:t>
            </w:r>
            <w:r w:rsidRPr="004E7413">
              <w:t>-</w:t>
            </w:r>
            <w:r w:rsidRPr="004E7413">
              <w:tab/>
              <w:t>If the UE</w:t>
            </w:r>
          </w:p>
          <w:p w:rsidR="004E7413" w:rsidRPr="004E7413" w:rsidRDefault="004E7413" w:rsidP="004E7413">
            <w:pPr>
              <w:pStyle w:val="B3"/>
              <w:rPr>
                <w:rFonts w:ascii="Times New Roman" w:hAnsi="Times New Roman" w:cs="Times New Roman"/>
                <w:sz w:val="20"/>
                <w:szCs w:val="20"/>
                <w:lang w:val="en-US"/>
              </w:rPr>
            </w:pPr>
            <w:r w:rsidRPr="004E7413">
              <w:rPr>
                <w:rFonts w:ascii="Times New Roman" w:hAnsi="Times New Roman" w:cs="Times New Roman"/>
                <w:sz w:val="20"/>
                <w:szCs w:val="20"/>
              </w:rPr>
              <w:t>-</w:t>
            </w:r>
            <w:r w:rsidRPr="004E7413">
              <w:rPr>
                <w:rFonts w:ascii="Times New Roman" w:hAnsi="Times New Roman" w:cs="Times New Roman"/>
                <w:sz w:val="20"/>
                <w:szCs w:val="20"/>
              </w:rPr>
              <w:tab/>
              <w:t xml:space="preserve">is not provided </w:t>
            </w:r>
            <w:r w:rsidRPr="004E7413">
              <w:rPr>
                <w:rFonts w:ascii="Times New Roman" w:hAnsi="Times New Roman" w:cs="Times New Roman"/>
                <w:i/>
                <w:iCs/>
                <w:sz w:val="20"/>
                <w:szCs w:val="20"/>
              </w:rPr>
              <w:t>pathlossReferenceRS</w:t>
            </w:r>
            <w:r w:rsidRPr="004E7413">
              <w:rPr>
                <w:rFonts w:ascii="Times New Roman" w:eastAsia="MS Mincho" w:hAnsi="Times New Roman" w:cs="Times New Roman"/>
                <w:sz w:val="20"/>
                <w:szCs w:val="20"/>
              </w:rPr>
              <w:t xml:space="preserve"> or </w:t>
            </w:r>
            <w:r w:rsidRPr="004E7413">
              <w:rPr>
                <w:rFonts w:ascii="Times New Roman" w:hAnsi="Times New Roman" w:cs="Times New Roman"/>
                <w:i/>
                <w:sz w:val="20"/>
                <w:szCs w:val="20"/>
                <w:lang w:eastAsia="ko-KR"/>
              </w:rPr>
              <w:t>SRS-PathlossReferenceRS</w:t>
            </w:r>
            <w:r w:rsidRPr="004E7413">
              <w:rPr>
                <w:rFonts w:ascii="Times New Roman" w:hAnsi="Times New Roman" w:cs="Times New Roman"/>
                <w:i/>
                <w:iCs/>
                <w:sz w:val="20"/>
                <w:szCs w:val="20"/>
                <w:lang w:val="en-US" w:eastAsia="ko-KR"/>
              </w:rPr>
              <w:t>-Id</w:t>
            </w:r>
            <w:r w:rsidRPr="004E7413">
              <w:rPr>
                <w:rFonts w:ascii="Times New Roman" w:hAnsi="Times New Roman" w:cs="Times New Roman"/>
                <w:sz w:val="20"/>
                <w:szCs w:val="20"/>
                <w:lang w:val="en-US"/>
              </w:rPr>
              <w:t xml:space="preserve">, </w:t>
            </w:r>
          </w:p>
          <w:p w:rsidR="004E7413" w:rsidRPr="004E7413" w:rsidRDefault="004E7413" w:rsidP="004E7413">
            <w:pPr>
              <w:pStyle w:val="B3"/>
              <w:rPr>
                <w:rFonts w:ascii="Times New Roman" w:hAnsi="Times New Roman" w:cs="Times New Roman"/>
                <w:sz w:val="20"/>
                <w:szCs w:val="20"/>
              </w:rPr>
            </w:pPr>
            <w:r w:rsidRPr="004E7413">
              <w:rPr>
                <w:rFonts w:ascii="Times New Roman" w:hAnsi="Times New Roman" w:cs="Times New Roman"/>
                <w:sz w:val="20"/>
                <w:szCs w:val="20"/>
              </w:rPr>
              <w:t>-</w:t>
            </w:r>
            <w:r w:rsidRPr="004E7413">
              <w:rPr>
                <w:rFonts w:ascii="Times New Roman" w:hAnsi="Times New Roman" w:cs="Times New Roman"/>
                <w:sz w:val="20"/>
                <w:szCs w:val="20"/>
              </w:rPr>
              <w:tab/>
              <w:t xml:space="preserve">is not provided </w:t>
            </w:r>
            <w:r w:rsidRPr="004E7413">
              <w:rPr>
                <w:rFonts w:ascii="Times New Roman" w:hAnsi="Times New Roman" w:cs="Times New Roman"/>
                <w:i/>
                <w:sz w:val="20"/>
                <w:szCs w:val="20"/>
              </w:rPr>
              <w:t>spatialRelationInfo</w:t>
            </w:r>
            <w:r w:rsidRPr="004E7413">
              <w:rPr>
                <w:rFonts w:ascii="Times New Roman" w:hAnsi="Times New Roman" w:cs="Times New Roman"/>
                <w:iCs/>
                <w:sz w:val="20"/>
                <w:szCs w:val="20"/>
              </w:rPr>
              <w:t xml:space="preserve">, </w:t>
            </w:r>
            <w:r w:rsidRPr="004E7413">
              <w:rPr>
                <w:rFonts w:ascii="Times New Roman" w:hAnsi="Times New Roman" w:cs="Times New Roman"/>
                <w:sz w:val="20"/>
                <w:szCs w:val="20"/>
                <w:lang w:val="en-US"/>
              </w:rPr>
              <w:t>and</w:t>
            </w:r>
          </w:p>
          <w:p w:rsidR="004E7413" w:rsidRPr="004E7413" w:rsidRDefault="004E7413" w:rsidP="004E7413">
            <w:pPr>
              <w:pStyle w:val="B3"/>
              <w:rPr>
                <w:rFonts w:ascii="Times New Roman" w:hAnsi="Times New Roman" w:cs="Times New Roman"/>
                <w:sz w:val="20"/>
                <w:szCs w:val="20"/>
              </w:rPr>
            </w:pPr>
            <w:r w:rsidRPr="004E7413">
              <w:rPr>
                <w:rFonts w:ascii="Times New Roman" w:hAnsi="Times New Roman" w:cs="Times New Roman"/>
                <w:sz w:val="20"/>
                <w:szCs w:val="20"/>
              </w:rPr>
              <w:t>-</w:t>
            </w:r>
            <w:r w:rsidRPr="004E7413">
              <w:rPr>
                <w:rFonts w:ascii="Times New Roman" w:hAnsi="Times New Roman" w:cs="Times New Roman"/>
                <w:sz w:val="20"/>
                <w:szCs w:val="20"/>
              </w:rPr>
              <w:tab/>
            </w:r>
            <w:r w:rsidRPr="004E7413">
              <w:rPr>
                <w:rFonts w:ascii="Times New Roman" w:hAnsi="Times New Roman" w:cs="Times New Roman"/>
                <w:sz w:val="20"/>
                <w:szCs w:val="20"/>
                <w:lang w:val="en-US"/>
              </w:rPr>
              <w:t xml:space="preserve">is provided </w:t>
            </w:r>
            <w:r w:rsidRPr="004E7413">
              <w:rPr>
                <w:rFonts w:ascii="Times New Roman" w:hAnsi="Times New Roman" w:cs="Times New Roman"/>
                <w:i/>
                <w:iCs/>
                <w:sz w:val="20"/>
                <w:szCs w:val="20"/>
                <w:lang w:val="en-US"/>
              </w:rPr>
              <w:t>enableDefaultBeamPL-ForSRS</w:t>
            </w:r>
            <w:r w:rsidRPr="004E7413">
              <w:rPr>
                <w:rFonts w:ascii="Times New Roman" w:hAnsi="Times New Roman" w:cs="Times New Roman"/>
                <w:iCs/>
                <w:sz w:val="20"/>
                <w:szCs w:val="20"/>
                <w:lang w:val="en-US"/>
              </w:rPr>
              <w:t>, and</w:t>
            </w:r>
            <w:r w:rsidRPr="004E7413">
              <w:rPr>
                <w:rFonts w:ascii="Times New Roman" w:hAnsi="Times New Roman" w:cs="Times New Roman"/>
                <w:sz w:val="20"/>
                <w:szCs w:val="20"/>
              </w:rPr>
              <w:t xml:space="preserve"> </w:t>
            </w:r>
          </w:p>
          <w:p w:rsidR="004E7413" w:rsidRPr="004E7413" w:rsidRDefault="004E7413" w:rsidP="004E7413">
            <w:pPr>
              <w:pStyle w:val="B3"/>
              <w:rPr>
                <w:rFonts w:ascii="Times New Roman" w:hAnsi="Times New Roman" w:cs="Times New Roman"/>
                <w:sz w:val="20"/>
                <w:szCs w:val="20"/>
              </w:rPr>
            </w:pPr>
            <w:r w:rsidRPr="004E7413">
              <w:rPr>
                <w:rFonts w:ascii="Times New Roman" w:hAnsi="Times New Roman" w:cs="Times New Roman"/>
                <w:sz w:val="20"/>
                <w:szCs w:val="20"/>
              </w:rPr>
              <w:t>-</w:t>
            </w:r>
            <w:r w:rsidRPr="004E7413">
              <w:rPr>
                <w:rFonts w:ascii="Times New Roman" w:hAnsi="Times New Roman" w:cs="Times New Roman"/>
                <w:sz w:val="20"/>
                <w:szCs w:val="20"/>
              </w:rPr>
              <w:tab/>
              <w:t xml:space="preserve">is not provided </w:t>
            </w:r>
            <w:r w:rsidRPr="004E7413">
              <w:rPr>
                <w:rStyle w:val="Emphasis"/>
                <w:rFonts w:ascii="Times New Roman" w:eastAsia="Batang" w:hAnsi="Times New Roman" w:cs="Times New Roman"/>
                <w:sz w:val="20"/>
                <w:szCs w:val="20"/>
              </w:rPr>
              <w:t>coresetPoolIndex</w:t>
            </w:r>
            <w:r w:rsidRPr="004E7413">
              <w:rPr>
                <w:rFonts w:ascii="Times New Roman" w:hAnsi="Times New Roman" w:cs="Times New Roman"/>
                <w:sz w:val="20"/>
                <w:szCs w:val="20"/>
              </w:rPr>
              <w:t xml:space="preserve"> value of 1 for any CORESET, or is provided </w:t>
            </w:r>
            <w:r w:rsidRPr="004E7413">
              <w:rPr>
                <w:rStyle w:val="Emphasis"/>
                <w:rFonts w:ascii="Times New Roman" w:eastAsia="Batang" w:hAnsi="Times New Roman" w:cs="Times New Roman"/>
                <w:sz w:val="20"/>
                <w:szCs w:val="20"/>
              </w:rPr>
              <w:t>coresetPoolIndex</w:t>
            </w:r>
            <w:r w:rsidRPr="004E7413">
              <w:rPr>
                <w:rFonts w:ascii="Times New Roman" w:hAnsi="Times New Roman" w:cs="Times New Roman"/>
                <w:sz w:val="20"/>
                <w:szCs w:val="20"/>
              </w:rPr>
              <w:t xml:space="preserve"> value of 1 for all CORESETs, in </w:t>
            </w:r>
            <w:r w:rsidRPr="004E7413">
              <w:rPr>
                <w:rStyle w:val="Emphasis"/>
                <w:rFonts w:ascii="Times New Roman" w:eastAsia="Batang" w:hAnsi="Times New Roman" w:cs="Times New Roman"/>
                <w:sz w:val="20"/>
                <w:szCs w:val="20"/>
              </w:rPr>
              <w:t xml:space="preserve">ControlResourceSet </w:t>
            </w:r>
            <w:r w:rsidRPr="004E7413">
              <w:rPr>
                <w:rFonts w:ascii="Times New Roman" w:hAnsi="Times New Roman" w:cs="Times New Roman"/>
                <w:sz w:val="20"/>
                <w:szCs w:val="20"/>
              </w:rPr>
              <w:t xml:space="preserve">and no codepoint of a TCI field, if any, in a DCI format of any search space set maps to two TCI states [5, TS 38.212] </w:t>
            </w:r>
          </w:p>
          <w:p w:rsidR="004E7413" w:rsidRPr="004E7413" w:rsidRDefault="004E7413" w:rsidP="004E7413">
            <w:pPr>
              <w:pStyle w:val="B2"/>
            </w:pPr>
            <w:r w:rsidRPr="004E7413">
              <w:lastRenderedPageBreak/>
              <w:tab/>
              <w:t>the UE determines a RS resource</w:t>
            </w:r>
            <w:r w:rsidRPr="004E7413">
              <w:rPr>
                <w:lang w:val="en-US"/>
              </w:rPr>
              <w:t xml:space="preserve"> index</w:t>
            </w:r>
            <w:r w:rsidRPr="004E7413">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4E7413">
              <w:t xml:space="preserve"> providing a </w:t>
            </w:r>
            <w:r w:rsidRPr="004E7413">
              <w:rPr>
                <w:lang w:val="en-US"/>
              </w:rPr>
              <w:t xml:space="preserve">periodic </w:t>
            </w:r>
            <w:r w:rsidRPr="004E7413">
              <w:t xml:space="preserve">RS resource </w:t>
            </w:r>
            <w:r w:rsidRPr="004E7413">
              <w:rPr>
                <w:lang w:val="en-US"/>
              </w:rPr>
              <w:t xml:space="preserve">configured </w:t>
            </w:r>
            <w:r w:rsidRPr="004E7413">
              <w:t xml:space="preserve">with </w:t>
            </w:r>
            <w:r w:rsidRPr="004E7413">
              <w:rPr>
                <w:i/>
                <w:lang w:val="en-US"/>
              </w:rPr>
              <w:t>qcl-Type</w:t>
            </w:r>
            <w:r w:rsidRPr="004E7413">
              <w:rPr>
                <w:lang w:val="en-US"/>
              </w:rPr>
              <w:t xml:space="preserve"> set to</w:t>
            </w:r>
            <w:r w:rsidRPr="004E7413">
              <w:t xml:space="preserve"> </w:t>
            </w:r>
            <w:r w:rsidRPr="004E7413">
              <w:rPr>
                <w:lang w:val="en-US"/>
              </w:rPr>
              <w:t>'t</w:t>
            </w:r>
            <w:r w:rsidRPr="004E7413">
              <w:t>ypeD' in</w:t>
            </w:r>
          </w:p>
          <w:p w:rsidR="004E7413" w:rsidRPr="004E7413" w:rsidRDefault="004E7413" w:rsidP="004E7413">
            <w:pPr>
              <w:pStyle w:val="B3"/>
              <w:rPr>
                <w:rFonts w:ascii="Times New Roman" w:hAnsi="Times New Roman" w:cs="Times New Roman"/>
                <w:sz w:val="20"/>
                <w:szCs w:val="20"/>
              </w:rPr>
            </w:pPr>
            <w:r w:rsidRPr="004E7413">
              <w:rPr>
                <w:rFonts w:ascii="Times New Roman" w:hAnsi="Times New Roman" w:cs="Times New Roman"/>
                <w:sz w:val="20"/>
                <w:szCs w:val="20"/>
              </w:rPr>
              <w:t>-</w:t>
            </w:r>
            <w:r w:rsidRPr="004E7413">
              <w:rPr>
                <w:rFonts w:ascii="Times New Roman" w:hAnsi="Times New Roman" w:cs="Times New Roman"/>
                <w:sz w:val="20"/>
                <w:szCs w:val="20"/>
              </w:rPr>
              <w:tab/>
              <w:t xml:space="preserve">the TCI state or the QCL assumption of a CORESET with the lowest index in the active DL BWP, if CORESETs are provided in the active DL BWP of serving cell </w:t>
            </w:r>
            <m:oMath>
              <m:r>
                <w:rPr>
                  <w:rFonts w:ascii="Cambria Math" w:eastAsia="MS Mincho" w:hAnsi="Cambria Math" w:cs="Times New Roman"/>
                  <w:sz w:val="20"/>
                  <w:szCs w:val="20"/>
                  <w:lang w:val="en-US"/>
                </w:rPr>
                <m:t>c</m:t>
              </m:r>
            </m:oMath>
            <w:r w:rsidRPr="004E7413">
              <w:rPr>
                <w:rFonts w:ascii="Times New Roman" w:hAnsi="Times New Roman" w:cs="Times New Roman"/>
                <w:sz w:val="20"/>
                <w:szCs w:val="20"/>
                <w:lang w:val="en-US"/>
              </w:rPr>
              <w:t xml:space="preserve">. </w:t>
            </w:r>
            <w:r w:rsidRPr="004E7413">
              <w:rPr>
                <w:rFonts w:ascii="Times New Roman" w:hAnsi="Times New Roman" w:cs="Times New Roman"/>
                <w:sz w:val="20"/>
                <w:szCs w:val="20"/>
              </w:rPr>
              <w:t>If the CORESET has two activated TCI states, as described in clause 10.1, the UE determines the RS resource</w:t>
            </w:r>
            <w:r w:rsidRPr="004E7413">
              <w:rPr>
                <w:rFonts w:ascii="Times New Roman" w:hAnsi="Times New Roman" w:cs="Times New Roman"/>
                <w:sz w:val="20"/>
                <w:szCs w:val="20"/>
                <w:lang w:val="en-US"/>
              </w:rPr>
              <w:t xml:space="preserve"> index</w:t>
            </w:r>
            <w:r w:rsidRPr="004E7413">
              <w:rPr>
                <w:rFonts w:ascii="Times New Roman" w:hAnsi="Times New Roman" w:cs="Times New Roman"/>
                <w:sz w:val="20"/>
                <w:szCs w:val="20"/>
              </w:rPr>
              <w:t xml:space="preserve"> </w:t>
            </w:r>
            <m:oMath>
              <m:sSub>
                <m:sSubPr>
                  <m:ctrlPr>
                    <w:rPr>
                      <w:rFonts w:ascii="Cambria Math" w:hAnsi="Cambria Math" w:cs="Times New Roman"/>
                      <w:i/>
                      <w:sz w:val="20"/>
                      <w:szCs w:val="20"/>
                      <w:lang w:val="en-US"/>
                    </w:rPr>
                  </m:ctrlPr>
                </m:sSubPr>
                <m:e>
                  <m:r>
                    <w:rPr>
                      <w:rFonts w:ascii="Cambria Math" w:hAnsi="Cambria Math" w:cs="Times New Roman"/>
                      <w:sz w:val="20"/>
                      <w:szCs w:val="20"/>
                      <w:lang w:val="en-US"/>
                    </w:rPr>
                    <m:t>q</m:t>
                  </m:r>
                </m:e>
                <m:sub>
                  <m:r>
                    <w:rPr>
                      <w:rFonts w:ascii="Cambria Math" w:hAnsi="Cambria Math" w:cs="Times New Roman"/>
                      <w:sz w:val="20"/>
                      <w:szCs w:val="20"/>
                      <w:lang w:val="en-US"/>
                    </w:rPr>
                    <m:t>d</m:t>
                  </m:r>
                </m:sub>
              </m:sSub>
            </m:oMath>
            <w:r w:rsidRPr="004E7413">
              <w:rPr>
                <w:rFonts w:ascii="Times New Roman" w:hAnsi="Times New Roman" w:cs="Times New Roman"/>
                <w:sz w:val="20"/>
                <w:szCs w:val="20"/>
              </w:rPr>
              <w:t xml:space="preserve"> based on the first TCI state</w:t>
            </w:r>
            <w:r w:rsidRPr="004E7413">
              <w:rPr>
                <w:rFonts w:ascii="Times New Roman" w:hAnsi="Times New Roman" w:cs="Times New Roman"/>
                <w:sz w:val="20"/>
                <w:szCs w:val="20"/>
                <w:lang w:val="en-US"/>
              </w:rPr>
              <w:t>.</w:t>
            </w:r>
          </w:p>
          <w:p w:rsidR="004E7413" w:rsidRPr="004E7413" w:rsidRDefault="004E7413" w:rsidP="004E7413">
            <w:pPr>
              <w:pStyle w:val="B3"/>
              <w:rPr>
                <w:rFonts w:ascii="Times New Roman" w:hAnsi="Times New Roman" w:cs="Times New Roman"/>
                <w:sz w:val="20"/>
                <w:szCs w:val="20"/>
              </w:rPr>
            </w:pPr>
            <w:r w:rsidRPr="004E7413">
              <w:rPr>
                <w:rFonts w:ascii="Times New Roman" w:hAnsi="Times New Roman" w:cs="Times New Roman"/>
                <w:sz w:val="20"/>
                <w:szCs w:val="20"/>
              </w:rPr>
              <w:t>-</w:t>
            </w:r>
            <w:r w:rsidRPr="004E7413">
              <w:rPr>
                <w:rFonts w:ascii="Times New Roman" w:hAnsi="Times New Roman" w:cs="Times New Roman"/>
                <w:sz w:val="20"/>
                <w:szCs w:val="20"/>
              </w:rPr>
              <w:tab/>
              <w:t xml:space="preserve">the active PDSCH TCI state with lowest ID [6, TS 38.214] in the active DL BWP, if CORESETs are not provided in the active DL BWP of serving cell </w:t>
            </w:r>
            <m:oMath>
              <m:r>
                <w:rPr>
                  <w:rFonts w:ascii="Cambria Math" w:eastAsia="MS Mincho" w:hAnsi="Cambria Math" w:cs="Times New Roman"/>
                  <w:sz w:val="20"/>
                  <w:szCs w:val="20"/>
                  <w:lang w:val="en-US"/>
                </w:rPr>
                <m:t>c</m:t>
              </m:r>
            </m:oMath>
          </w:p>
          <w:p w:rsidR="004E7413" w:rsidRPr="004E7413" w:rsidRDefault="004E7413" w:rsidP="00557396">
            <w:pPr>
              <w:pStyle w:val="0Maintext"/>
              <w:spacing w:after="120" w:afterAutospacing="0" w:line="240" w:lineRule="auto"/>
              <w:ind w:firstLine="0"/>
              <w:rPr>
                <w:rFonts w:cs="Times New Roman"/>
                <w:lang w:val="en-US" w:eastAsia="zh-CN"/>
              </w:rPr>
            </w:pPr>
          </w:p>
        </w:tc>
      </w:tr>
    </w:tbl>
    <w:p w:rsidR="002528DE" w:rsidRDefault="002528DE" w:rsidP="00557396">
      <w:pPr>
        <w:pStyle w:val="0Maintext"/>
        <w:spacing w:after="120" w:afterAutospacing="0" w:line="240" w:lineRule="auto"/>
        <w:ind w:firstLine="0"/>
        <w:rPr>
          <w:lang w:val="en-US" w:eastAsia="zh-CN"/>
        </w:rPr>
      </w:pPr>
    </w:p>
    <w:p w:rsidR="00AB7A8A" w:rsidRDefault="00AB7A8A" w:rsidP="00557396">
      <w:pPr>
        <w:pStyle w:val="0Maintext"/>
        <w:spacing w:after="120" w:afterAutospacing="0" w:line="240" w:lineRule="auto"/>
        <w:ind w:firstLine="0"/>
        <w:rPr>
          <w:lang w:val="en-US" w:eastAsia="zh-CN"/>
        </w:rPr>
      </w:pPr>
      <w:r>
        <w:rPr>
          <w:lang w:val="en-US" w:eastAsia="zh-CN"/>
        </w:rPr>
        <w:t xml:space="preserve">In current 38.214, the default beam for SRS is defined as follows. When unified TCI is configured, the network cannot configure </w:t>
      </w:r>
      <w:r w:rsidRPr="004E7413">
        <w:rPr>
          <w:i/>
          <w:iCs/>
          <w:lang w:val="en-US" w:eastAsia="zh-CN"/>
        </w:rPr>
        <w:t>spatialRelationInfo</w:t>
      </w:r>
      <w:r>
        <w:rPr>
          <w:lang w:val="en-US" w:eastAsia="zh-CN"/>
        </w:rPr>
        <w:t xml:space="preserve">. Therefore, the default </w:t>
      </w:r>
      <w:r w:rsidR="002B25CB">
        <w:rPr>
          <w:lang w:val="en-US" w:eastAsia="zh-CN"/>
        </w:rPr>
        <w:t>beam</w:t>
      </w:r>
      <w:r>
        <w:rPr>
          <w:lang w:val="en-US" w:eastAsia="zh-CN"/>
        </w:rPr>
        <w:t xml:space="preserve"> should only be applicable when the unified TCI is not indicated for the SRS instead of when </w:t>
      </w:r>
      <w:r w:rsidRPr="004E7413">
        <w:rPr>
          <w:i/>
          <w:iCs/>
          <w:lang w:val="en-US" w:eastAsia="zh-CN"/>
        </w:rPr>
        <w:t>spatialRelationInfo</w:t>
      </w:r>
      <w:r>
        <w:rPr>
          <w:lang w:val="en-US" w:eastAsia="zh-CN"/>
        </w:rPr>
        <w:t xml:space="preserve"> is not configured.</w:t>
      </w:r>
    </w:p>
    <w:tbl>
      <w:tblPr>
        <w:tblStyle w:val="TableGrid"/>
        <w:tblW w:w="0" w:type="auto"/>
        <w:tblLook w:val="04A0" w:firstRow="1" w:lastRow="0" w:firstColumn="1" w:lastColumn="0" w:noHBand="0" w:noVBand="1"/>
      </w:tblPr>
      <w:tblGrid>
        <w:gridCol w:w="9010"/>
      </w:tblGrid>
      <w:tr w:rsidR="00AB7A8A" w:rsidRPr="00AB7A8A" w:rsidTr="00AB7A8A">
        <w:tc>
          <w:tcPr>
            <w:tcW w:w="9010" w:type="dxa"/>
          </w:tcPr>
          <w:p w:rsidR="00AB7A8A" w:rsidRPr="00AB7A8A" w:rsidRDefault="00AB7A8A" w:rsidP="00AB7A8A">
            <w:pPr>
              <w:rPr>
                <w:sz w:val="20"/>
                <w:szCs w:val="20"/>
              </w:rPr>
            </w:pPr>
            <w:r w:rsidRPr="00AB7A8A">
              <w:rPr>
                <w:sz w:val="20"/>
                <w:szCs w:val="20"/>
              </w:rPr>
              <w:t xml:space="preserve">When the higher layer parameter </w:t>
            </w:r>
            <w:r w:rsidRPr="00AB7A8A">
              <w:rPr>
                <w:i/>
                <w:color w:val="000000"/>
                <w:sz w:val="20"/>
                <w:szCs w:val="20"/>
              </w:rPr>
              <w:t>enableDefaultBeamPL-ForSRS</w:t>
            </w:r>
            <w:r w:rsidRPr="00AB7A8A">
              <w:rPr>
                <w:sz w:val="20"/>
                <w:szCs w:val="20"/>
              </w:rPr>
              <w:t xml:space="preserve"> is set 'enabled', and if the higher layer parameter </w:t>
            </w:r>
            <w:r w:rsidRPr="00AB7A8A">
              <w:rPr>
                <w:i/>
                <w:sz w:val="20"/>
                <w:szCs w:val="20"/>
              </w:rPr>
              <w:t>spatialRelationInfo</w:t>
            </w:r>
            <w:r w:rsidRPr="00AB7A8A">
              <w:rPr>
                <w:sz w:val="20"/>
                <w:szCs w:val="20"/>
              </w:rPr>
              <w:t xml:space="preserve"> for the SRS resource, except for the SRS resource with the higher layer parameter </w:t>
            </w:r>
            <w:r w:rsidRPr="00AB7A8A">
              <w:rPr>
                <w:i/>
                <w:sz w:val="20"/>
                <w:szCs w:val="20"/>
              </w:rPr>
              <w:t>usage</w:t>
            </w:r>
            <w:r w:rsidRPr="00AB7A8A">
              <w:rPr>
                <w:sz w:val="20"/>
                <w:szCs w:val="20"/>
              </w:rPr>
              <w:t xml:space="preserve"> in SRS-ResourceSet set to 'beamManagement' or for the SRS resource with the higher layer parameter </w:t>
            </w:r>
            <w:r w:rsidRPr="00AB7A8A">
              <w:rPr>
                <w:i/>
                <w:sz w:val="20"/>
                <w:szCs w:val="20"/>
              </w:rPr>
              <w:t>usage</w:t>
            </w:r>
            <w:r w:rsidRPr="00AB7A8A">
              <w:rPr>
                <w:sz w:val="20"/>
                <w:szCs w:val="20"/>
              </w:rPr>
              <w:t xml:space="preserve"> in SRS-ResourceSet set to 'nonCodebook' with configuration of </w:t>
            </w:r>
            <w:r w:rsidRPr="00AB7A8A">
              <w:rPr>
                <w:i/>
                <w:sz w:val="20"/>
                <w:szCs w:val="20"/>
              </w:rPr>
              <w:t>associatedCSI-RS</w:t>
            </w:r>
            <w:r w:rsidRPr="00AB7A8A">
              <w:rPr>
                <w:sz w:val="20"/>
                <w:szCs w:val="20"/>
              </w:rPr>
              <w:t xml:space="preserve"> or for the SRS resource configured by the higher layer parameter </w:t>
            </w:r>
            <w:r w:rsidRPr="00AB7A8A">
              <w:rPr>
                <w:i/>
                <w:color w:val="000000"/>
                <w:sz w:val="20"/>
                <w:szCs w:val="20"/>
              </w:rPr>
              <w:t>SRS-PosResourceSet</w:t>
            </w:r>
            <w:r w:rsidRPr="00AB7A8A">
              <w:rPr>
                <w:sz w:val="20"/>
                <w:szCs w:val="20"/>
              </w:rPr>
              <w:t xml:space="preserve">, is not configured in FR2 and if the UE is not configured with higher layer parameter(s) </w:t>
            </w:r>
            <w:r w:rsidRPr="00AB7A8A">
              <w:rPr>
                <w:i/>
                <w:sz w:val="20"/>
                <w:szCs w:val="20"/>
              </w:rPr>
              <w:t>pathlossReferenceRS</w:t>
            </w:r>
            <w:r w:rsidRPr="00AB7A8A">
              <w:rPr>
                <w:sz w:val="20"/>
                <w:szCs w:val="20"/>
              </w:rPr>
              <w:t xml:space="preserve">, and if the UE is not configured with different values of </w:t>
            </w:r>
            <w:r w:rsidRPr="00AB7A8A">
              <w:rPr>
                <w:rStyle w:val="Emphasis"/>
                <w:rFonts w:eastAsia="Batang"/>
                <w:sz w:val="20"/>
                <w:szCs w:val="20"/>
              </w:rPr>
              <w:t>coresetPoolIndex in ControlResourceSets</w:t>
            </w:r>
            <w:r w:rsidRPr="00AB7A8A">
              <w:rPr>
                <w:sz w:val="20"/>
                <w:szCs w:val="20"/>
              </w:rPr>
              <w:t>, and is not provided at least one TCI codepoint mapped with two TCI states, the UE shall transmit the target SRS resource in an active UL BWP of a CC,</w:t>
            </w:r>
          </w:p>
          <w:p w:rsidR="00AB7A8A" w:rsidRPr="00AB7A8A" w:rsidRDefault="00AB7A8A" w:rsidP="00AB7A8A">
            <w:pPr>
              <w:pStyle w:val="B1"/>
              <w:rPr>
                <w:lang w:val="en-GB"/>
              </w:rPr>
            </w:pPr>
            <w:r w:rsidRPr="00AB7A8A">
              <w:t>-</w:t>
            </w:r>
            <w:r w:rsidRPr="00AB7A8A">
              <w:tab/>
              <w:t xml:space="preserve">according to the spatial relation, if applicable, with a reference to the RS </w:t>
            </w:r>
            <w:r w:rsidRPr="00AB7A8A">
              <w:rPr>
                <w:lang w:val="en-GB"/>
              </w:rPr>
              <w:t xml:space="preserve">configured with </w:t>
            </w:r>
            <w:r w:rsidRPr="00AB7A8A">
              <w:rPr>
                <w:i/>
                <w:iCs/>
                <w:lang w:val="en-GB"/>
              </w:rPr>
              <w:t>qcl-Type</w:t>
            </w:r>
            <w:r w:rsidRPr="00AB7A8A">
              <w:rPr>
                <w:lang w:val="en-GB"/>
              </w:rPr>
              <w:t xml:space="preserve"> set to</w:t>
            </w:r>
            <w:r w:rsidRPr="00AB7A8A">
              <w:t xml:space="preserve"> '</w:t>
            </w:r>
            <w:r w:rsidRPr="00AB7A8A">
              <w:rPr>
                <w:lang w:val="en-US"/>
              </w:rPr>
              <w:t>t</w:t>
            </w:r>
            <w:r w:rsidRPr="00AB7A8A">
              <w:t>ypeD' corresponding to the QCL assumption of</w:t>
            </w:r>
            <w:r w:rsidRPr="00AB7A8A">
              <w:rPr>
                <w:lang w:val="en-US"/>
              </w:rPr>
              <w:t xml:space="preserve"> </w:t>
            </w:r>
            <w:r w:rsidRPr="00AB7A8A">
              <w:t xml:space="preserve">the CORESET with the lowest </w:t>
            </w:r>
            <w:r w:rsidRPr="00AB7A8A">
              <w:rPr>
                <w:i/>
              </w:rPr>
              <w:t>controlResourceSetId</w:t>
            </w:r>
            <w:r w:rsidRPr="00AB7A8A">
              <w:t xml:space="preserve"> in the active DL BWP in the CC.</w:t>
            </w:r>
            <w:r w:rsidRPr="00AB7A8A">
              <w:rPr>
                <w:lang w:val="en-GB"/>
              </w:rPr>
              <w:t xml:space="preserve"> </w:t>
            </w:r>
            <w:r w:rsidRPr="00AB7A8A">
              <w:t xml:space="preserve">If the CORESET is activated with two TCI states, </w:t>
            </w:r>
            <w:r w:rsidRPr="00AB7A8A">
              <w:rPr>
                <w:i/>
                <w:iCs/>
              </w:rPr>
              <w:t>sfnSchemePdcch</w:t>
            </w:r>
            <w:r w:rsidRPr="00AB7A8A">
              <w:t xml:space="preserve"> is configured and the UE supports </w:t>
            </w:r>
            <w:r w:rsidRPr="00AB7A8A">
              <w:rPr>
                <w:i/>
                <w:iCs/>
              </w:rPr>
              <w:t>sfn-DefaultUL-BeamSetup-r17</w:t>
            </w:r>
            <w:r w:rsidRPr="00AB7A8A">
              <w:t xml:space="preserve">, UE shall use the first TCI state as the QCL assumption.  </w:t>
            </w:r>
          </w:p>
          <w:p w:rsidR="00AB7A8A" w:rsidRPr="00AB7A8A" w:rsidRDefault="00AB7A8A" w:rsidP="00AB7A8A">
            <w:pPr>
              <w:pStyle w:val="B1"/>
              <w:rPr>
                <w:lang w:val="en-US"/>
              </w:rPr>
            </w:pPr>
            <w:r w:rsidRPr="00AB7A8A">
              <w:t>-</w:t>
            </w:r>
            <w:r w:rsidRPr="00AB7A8A">
              <w:tab/>
              <w:t xml:space="preserve">according to the spatial relation, if applicable, with a reference to the RS </w:t>
            </w:r>
            <w:r w:rsidRPr="00AB7A8A">
              <w:rPr>
                <w:lang w:val="en-GB"/>
              </w:rPr>
              <w:t xml:space="preserve">configured with </w:t>
            </w:r>
            <w:r w:rsidRPr="00AB7A8A">
              <w:rPr>
                <w:i/>
                <w:iCs/>
                <w:lang w:val="en-GB"/>
              </w:rPr>
              <w:t>qcl-Type</w:t>
            </w:r>
            <w:r w:rsidRPr="00AB7A8A">
              <w:rPr>
                <w:lang w:val="en-GB"/>
              </w:rPr>
              <w:t xml:space="preserve"> set to</w:t>
            </w:r>
            <w:r w:rsidRPr="00AB7A8A">
              <w:t xml:space="preserve"> '</w:t>
            </w:r>
            <w:r w:rsidRPr="00AB7A8A">
              <w:rPr>
                <w:lang w:val="en-US"/>
              </w:rPr>
              <w:t>t</w:t>
            </w:r>
            <w:r w:rsidRPr="00AB7A8A">
              <w:t>ypeD'</w:t>
            </w:r>
            <w:r w:rsidRPr="00AB7A8A">
              <w:rPr>
                <w:lang w:val="en-US"/>
              </w:rPr>
              <w:t xml:space="preserve"> in</w:t>
            </w:r>
            <w:r w:rsidRPr="00AB7A8A">
              <w:t xml:space="preserve"> the activated TCI state with the lowest ID applicable to PDSCH in the active DL BWP of the CC if the UE is not configured with any CORESET in the active DL BWP of the CC</w:t>
            </w:r>
          </w:p>
          <w:p w:rsidR="00AB7A8A" w:rsidRPr="00AB7A8A" w:rsidRDefault="00AB7A8A" w:rsidP="00557396">
            <w:pPr>
              <w:pStyle w:val="0Maintext"/>
              <w:spacing w:after="120" w:afterAutospacing="0" w:line="240" w:lineRule="auto"/>
              <w:ind w:firstLine="0"/>
              <w:rPr>
                <w:lang w:val="en-US" w:eastAsia="zh-CN"/>
              </w:rPr>
            </w:pPr>
          </w:p>
        </w:tc>
      </w:tr>
    </w:tbl>
    <w:p w:rsidR="00AB7A8A" w:rsidRDefault="00AB7A8A" w:rsidP="00557396">
      <w:pPr>
        <w:pStyle w:val="0Maintext"/>
        <w:spacing w:after="120" w:afterAutospacing="0" w:line="240" w:lineRule="auto"/>
        <w:ind w:firstLine="0"/>
        <w:rPr>
          <w:lang w:val="en-US" w:eastAsia="zh-CN"/>
        </w:rPr>
      </w:pPr>
    </w:p>
    <w:p w:rsidR="004E7413" w:rsidRDefault="002B25CB" w:rsidP="00557396">
      <w:pPr>
        <w:pStyle w:val="0Maintext"/>
        <w:spacing w:after="120" w:afterAutospacing="0" w:line="240" w:lineRule="auto"/>
        <w:ind w:firstLine="0"/>
        <w:rPr>
          <w:lang w:val="en-US" w:eastAsia="zh-CN"/>
        </w:rPr>
      </w:pPr>
      <w:r>
        <w:rPr>
          <w:lang w:val="en-US" w:eastAsia="zh-CN"/>
        </w:rPr>
        <w:t xml:space="preserve">Therefore, when unified TCI is configured, for SRS that is not configured with </w:t>
      </w:r>
      <w:r w:rsidRPr="00987AEE">
        <w:rPr>
          <w:i/>
          <w:iCs/>
          <w:lang w:val="en-US" w:eastAsia="zh-CN"/>
        </w:rPr>
        <w:t>followUnifiedTCI-StateSRS</w:t>
      </w:r>
      <w:r>
        <w:rPr>
          <w:lang w:val="en-US" w:eastAsia="zh-CN"/>
        </w:rPr>
        <w:t xml:space="preserve">, to reuse the Rel-16 mechanism for beam indication, the condition to determine whether to apply the default beam or pathloss RS for the SRS should be based on whether a unified TCI is provided or not instead of whether </w:t>
      </w:r>
      <w:r w:rsidRPr="002B25CB">
        <w:rPr>
          <w:i/>
          <w:iCs/>
          <w:lang w:val="en-US" w:eastAsia="zh-CN"/>
        </w:rPr>
        <w:t>spatialRelationInfo</w:t>
      </w:r>
      <w:r>
        <w:rPr>
          <w:lang w:val="en-US" w:eastAsia="zh-CN"/>
        </w:rPr>
        <w:t xml:space="preserve"> is provided or not.</w:t>
      </w:r>
    </w:p>
    <w:p w:rsidR="002B25CB" w:rsidRPr="002B25CB" w:rsidRDefault="002B25CB" w:rsidP="00557396">
      <w:pPr>
        <w:pStyle w:val="0Maintext"/>
        <w:spacing w:after="120" w:afterAutospacing="0" w:line="240" w:lineRule="auto"/>
        <w:ind w:firstLine="0"/>
        <w:rPr>
          <w:b/>
          <w:bCs/>
          <w:i/>
          <w:iCs/>
          <w:lang w:val="en-US" w:eastAsia="zh-CN"/>
        </w:rPr>
      </w:pPr>
      <w:r w:rsidRPr="002B25CB">
        <w:rPr>
          <w:b/>
          <w:bCs/>
          <w:i/>
          <w:iCs/>
          <w:lang w:val="en-US" w:eastAsia="zh-CN"/>
        </w:rPr>
        <w:t xml:space="preserve">Proposal 1: Endorse CR </w:t>
      </w:r>
      <w:r w:rsidRPr="00F02B5B">
        <w:rPr>
          <w:b/>
          <w:bCs/>
          <w:i/>
          <w:iCs/>
          <w:lang w:val="en-US" w:eastAsia="zh-CN"/>
        </w:rPr>
        <w:t>R1-23</w:t>
      </w:r>
      <w:r w:rsidR="00F02B5B">
        <w:rPr>
          <w:b/>
          <w:bCs/>
          <w:i/>
          <w:iCs/>
          <w:lang w:val="en-US" w:eastAsia="zh-CN"/>
        </w:rPr>
        <w:t>11582</w:t>
      </w:r>
      <w:r>
        <w:rPr>
          <w:b/>
          <w:bCs/>
          <w:i/>
          <w:iCs/>
          <w:lang w:val="en-US" w:eastAsia="zh-CN"/>
        </w:rPr>
        <w:t xml:space="preserve"> and </w:t>
      </w:r>
      <w:r w:rsidRPr="00F02B5B">
        <w:rPr>
          <w:b/>
          <w:bCs/>
          <w:i/>
          <w:iCs/>
          <w:lang w:val="en-US" w:eastAsia="zh-CN"/>
        </w:rPr>
        <w:t>R1-23</w:t>
      </w:r>
      <w:r w:rsidR="00F02B5B">
        <w:rPr>
          <w:b/>
          <w:bCs/>
          <w:i/>
          <w:iCs/>
          <w:lang w:val="en-US" w:eastAsia="zh-CN"/>
        </w:rPr>
        <w:t>11583</w:t>
      </w:r>
      <w:r>
        <w:rPr>
          <w:b/>
          <w:bCs/>
          <w:i/>
          <w:iCs/>
          <w:lang w:val="en-US" w:eastAsia="zh-CN"/>
        </w:rPr>
        <w:t xml:space="preserve"> </w:t>
      </w:r>
      <w:r w:rsidRPr="002B25CB">
        <w:rPr>
          <w:b/>
          <w:bCs/>
          <w:i/>
          <w:iCs/>
          <w:lang w:val="en-US" w:eastAsia="zh-CN"/>
        </w:rPr>
        <w:t xml:space="preserve">to clarify that when unified TCI is configured, the condition to apply Rel-16 default beam and pathloss RS is whether a unified TCI is provided or not instead of whether spatialRelationInfo is provided or not. </w:t>
      </w:r>
    </w:p>
    <w:p w:rsidR="0057268A" w:rsidRPr="00E84E4F" w:rsidRDefault="0057268A"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2B25CB">
        <w:rPr>
          <w:lang w:val="en-US" w:eastAsia="zh-CN"/>
        </w:rPr>
        <w:t xml:space="preserve">default beam </w:t>
      </w:r>
      <w:r w:rsidR="008D0AFC">
        <w:rPr>
          <w:lang w:val="en-US" w:eastAsia="zh-CN"/>
        </w:rPr>
        <w:t xml:space="preserve">and pathloss reference signal </w:t>
      </w:r>
      <w:r w:rsidR="002B25CB">
        <w:rPr>
          <w:lang w:val="en-US" w:eastAsia="zh-CN"/>
        </w:rPr>
        <w:t>based on unified TCI state. Based on the discussion, the following is provided.</w:t>
      </w:r>
    </w:p>
    <w:p w:rsidR="002B25CB" w:rsidRPr="002B25CB" w:rsidRDefault="002B25CB" w:rsidP="002B25CB">
      <w:pPr>
        <w:pStyle w:val="0Maintext"/>
        <w:spacing w:after="120" w:afterAutospacing="0" w:line="240" w:lineRule="auto"/>
        <w:ind w:firstLine="0"/>
        <w:rPr>
          <w:b/>
          <w:bCs/>
          <w:i/>
          <w:iCs/>
          <w:lang w:val="en-US" w:eastAsia="zh-CN"/>
        </w:rPr>
      </w:pPr>
      <w:r w:rsidRPr="002B25CB">
        <w:rPr>
          <w:b/>
          <w:bCs/>
          <w:i/>
          <w:iCs/>
          <w:lang w:val="en-US" w:eastAsia="zh-CN"/>
        </w:rPr>
        <w:t xml:space="preserve">Proposal 1: Endorse CR </w:t>
      </w:r>
      <w:r>
        <w:rPr>
          <w:b/>
          <w:bCs/>
          <w:i/>
          <w:iCs/>
          <w:lang w:val="en-US" w:eastAsia="zh-CN"/>
        </w:rPr>
        <w:t>R1-23</w:t>
      </w:r>
      <w:r w:rsidR="00F02B5B">
        <w:rPr>
          <w:b/>
          <w:bCs/>
          <w:i/>
          <w:iCs/>
          <w:lang w:val="en-US" w:eastAsia="zh-CN"/>
        </w:rPr>
        <w:t>11582</w:t>
      </w:r>
      <w:r>
        <w:rPr>
          <w:b/>
          <w:bCs/>
          <w:i/>
          <w:iCs/>
          <w:lang w:val="en-US" w:eastAsia="zh-CN"/>
        </w:rPr>
        <w:t xml:space="preserve"> and R1-23</w:t>
      </w:r>
      <w:r w:rsidR="00F02B5B">
        <w:rPr>
          <w:b/>
          <w:bCs/>
          <w:i/>
          <w:iCs/>
          <w:lang w:val="en-US" w:eastAsia="zh-CN"/>
        </w:rPr>
        <w:t>11583</w:t>
      </w:r>
      <w:r>
        <w:rPr>
          <w:b/>
          <w:bCs/>
          <w:i/>
          <w:iCs/>
          <w:lang w:val="en-US" w:eastAsia="zh-CN"/>
        </w:rPr>
        <w:t xml:space="preserve"> </w:t>
      </w:r>
      <w:r w:rsidRPr="002B25CB">
        <w:rPr>
          <w:b/>
          <w:bCs/>
          <w:i/>
          <w:iCs/>
          <w:lang w:val="en-US" w:eastAsia="zh-CN"/>
        </w:rPr>
        <w:t xml:space="preserve">to clarify that when unified TCI is configured, the condition to apply Rel-16 default beam and pathloss RS is whether a unified TCI is provided or not instead of whether a spatialRelationInfo is provided or not. </w:t>
      </w:r>
    </w:p>
    <w:p w:rsidR="00E86642" w:rsidRDefault="00E86642" w:rsidP="002B25CB">
      <w:pPr>
        <w:pStyle w:val="0Maintext"/>
        <w:spacing w:after="120" w:afterAutospacing="0" w:line="240" w:lineRule="auto"/>
        <w:ind w:firstLine="0"/>
        <w:rPr>
          <w:lang w:val="en-US" w:eastAsia="zh-CN"/>
        </w:rPr>
      </w:pPr>
    </w:p>
    <w:sectPr w:rsidR="00E866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5"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2"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7"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6"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27"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2"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3"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5"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7"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3"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4"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5"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6"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58"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4"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7"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8"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3"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79"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0"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2"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4"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5"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9"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0"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1"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3"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2"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4"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6"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8"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0"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1"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3"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5"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9"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4"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5"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7"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9"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6"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3"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2"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7"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9"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61"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6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7"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1"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2"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73"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6"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77"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8"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9"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2"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5"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97"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0"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1"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4"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5"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6"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1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5"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7"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2"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31"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34"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5"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8"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9"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0"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1"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46"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0"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2"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4"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7"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3"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7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75"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7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8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9"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1"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9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6"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7"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09"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2"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13"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14"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5"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6"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8"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19"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1"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2"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5"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26"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7"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8"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3"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4"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36"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7"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38"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9"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0"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4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4"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5"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6"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7"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8"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4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2"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F76EE3B"/>
    <w:multiLevelType w:val="singleLevel"/>
    <w:tmpl w:val="5F76EE3B"/>
    <w:lvl w:ilvl="0">
      <w:start w:val="1"/>
      <w:numFmt w:val="decimal"/>
      <w:suff w:val="space"/>
      <w:lvlText w:val="%1."/>
      <w:lvlJc w:val="left"/>
    </w:lvl>
  </w:abstractNum>
  <w:abstractNum w:abstractNumId="454"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7"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1"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4"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5"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6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9"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4"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80"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5"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6"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9"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9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8"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9"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2"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4"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5"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6"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07"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0"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1"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6"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17"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18"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19"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0"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21"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22"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3"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25"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8"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9"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1"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5"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8"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0"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42"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4"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5"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7"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7"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6"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9"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3"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74"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75"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7"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8"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1"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3"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8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87"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790B5BD1"/>
    <w:multiLevelType w:val="hybridMultilevel"/>
    <w:tmpl w:val="E3F246C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7"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1"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3"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05"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07"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9"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1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12"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3"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6"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17"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0"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58"/>
  </w:num>
  <w:num w:numId="3" w16cid:durableId="1992562566">
    <w:abstractNumId w:val="337"/>
  </w:num>
  <w:num w:numId="4" w16cid:durableId="453331326">
    <w:abstractNumId w:val="544"/>
  </w:num>
  <w:num w:numId="5" w16cid:durableId="2049068586">
    <w:abstractNumId w:val="594"/>
  </w:num>
  <w:num w:numId="6" w16cid:durableId="1034618431">
    <w:abstractNumId w:val="527"/>
  </w:num>
  <w:num w:numId="7" w16cid:durableId="1630545893">
    <w:abstractNumId w:val="483"/>
  </w:num>
  <w:num w:numId="8" w16cid:durableId="1226334133">
    <w:abstractNumId w:val="29"/>
  </w:num>
  <w:num w:numId="9" w16cid:durableId="969670963">
    <w:abstractNumId w:val="166"/>
  </w:num>
  <w:num w:numId="10" w16cid:durableId="13073233">
    <w:abstractNumId w:val="519"/>
  </w:num>
  <w:num w:numId="11" w16cid:durableId="1049451307">
    <w:abstractNumId w:val="569"/>
  </w:num>
  <w:num w:numId="12" w16cid:durableId="1274245175">
    <w:abstractNumId w:val="125"/>
  </w:num>
  <w:num w:numId="13" w16cid:durableId="304745579">
    <w:abstractNumId w:val="218"/>
  </w:num>
  <w:num w:numId="14" w16cid:durableId="1919165698">
    <w:abstractNumId w:val="132"/>
  </w:num>
  <w:num w:numId="15" w16cid:durableId="1280600465">
    <w:abstractNumId w:val="304"/>
  </w:num>
  <w:num w:numId="16" w16cid:durableId="679699497">
    <w:abstractNumId w:val="475"/>
  </w:num>
  <w:num w:numId="17" w16cid:durableId="1350713196">
    <w:abstractNumId w:val="422"/>
  </w:num>
  <w:num w:numId="18" w16cid:durableId="1428229749">
    <w:abstractNumId w:val="186"/>
  </w:num>
  <w:num w:numId="19" w16cid:durableId="1846631695">
    <w:abstractNumId w:val="337"/>
  </w:num>
  <w:num w:numId="20" w16cid:durableId="1338384216">
    <w:abstractNumId w:val="297"/>
  </w:num>
  <w:num w:numId="21" w16cid:durableId="1314724841">
    <w:abstractNumId w:val="577"/>
  </w:num>
  <w:num w:numId="22" w16cid:durableId="580680914">
    <w:abstractNumId w:val="25"/>
  </w:num>
  <w:num w:numId="23" w16cid:durableId="1228760671">
    <w:abstractNumId w:val="46"/>
  </w:num>
  <w:num w:numId="24" w16cid:durableId="352461836">
    <w:abstractNumId w:val="366"/>
  </w:num>
  <w:num w:numId="25" w16cid:durableId="684986501">
    <w:abstractNumId w:val="340"/>
  </w:num>
  <w:num w:numId="26" w16cid:durableId="865874228">
    <w:abstractNumId w:val="597"/>
  </w:num>
  <w:num w:numId="27" w16cid:durableId="213545467">
    <w:abstractNumId w:val="485"/>
  </w:num>
  <w:num w:numId="28" w16cid:durableId="280844023">
    <w:abstractNumId w:val="181"/>
  </w:num>
  <w:num w:numId="29" w16cid:durableId="228615413">
    <w:abstractNumId w:val="198"/>
  </w:num>
  <w:num w:numId="30" w16cid:durableId="1504584805">
    <w:abstractNumId w:val="233"/>
  </w:num>
  <w:num w:numId="31" w16cid:durableId="490677133">
    <w:abstractNumId w:val="540"/>
  </w:num>
  <w:num w:numId="32" w16cid:durableId="1301692385">
    <w:abstractNumId w:val="148"/>
  </w:num>
  <w:num w:numId="33" w16cid:durableId="1541088206">
    <w:abstractNumId w:val="480"/>
  </w:num>
  <w:num w:numId="34" w16cid:durableId="825242615">
    <w:abstractNumId w:val="336"/>
  </w:num>
  <w:num w:numId="35" w16cid:durableId="82335965">
    <w:abstractNumId w:val="359"/>
  </w:num>
  <w:num w:numId="36" w16cid:durableId="1037463953">
    <w:abstractNumId w:val="247"/>
  </w:num>
  <w:num w:numId="37" w16cid:durableId="1844321281">
    <w:abstractNumId w:val="338"/>
  </w:num>
  <w:num w:numId="38" w16cid:durableId="1712336691">
    <w:abstractNumId w:val="50"/>
  </w:num>
  <w:num w:numId="39" w16cid:durableId="1089349044">
    <w:abstractNumId w:val="393"/>
  </w:num>
  <w:num w:numId="40" w16cid:durableId="432475320">
    <w:abstractNumId w:val="536"/>
  </w:num>
  <w:num w:numId="41" w16cid:durableId="1358771858">
    <w:abstractNumId w:val="171"/>
  </w:num>
  <w:num w:numId="42" w16cid:durableId="1271282741">
    <w:abstractNumId w:val="159"/>
  </w:num>
  <w:num w:numId="43" w16cid:durableId="211617635">
    <w:abstractNumId w:val="317"/>
  </w:num>
  <w:num w:numId="44" w16cid:durableId="104425776">
    <w:abstractNumId w:val="38"/>
  </w:num>
  <w:num w:numId="45" w16cid:durableId="1209758397">
    <w:abstractNumId w:val="461"/>
  </w:num>
  <w:num w:numId="46" w16cid:durableId="247740000">
    <w:abstractNumId w:val="549"/>
  </w:num>
  <w:num w:numId="47" w16cid:durableId="1092774725">
    <w:abstractNumId w:val="455"/>
  </w:num>
  <w:num w:numId="48" w16cid:durableId="335882311">
    <w:abstractNumId w:val="350"/>
  </w:num>
  <w:num w:numId="49" w16cid:durableId="1707749635">
    <w:abstractNumId w:val="463"/>
  </w:num>
  <w:num w:numId="50" w16cid:durableId="1850675249">
    <w:abstractNumId w:val="466"/>
  </w:num>
  <w:num w:numId="51" w16cid:durableId="1256283137">
    <w:abstractNumId w:val="124"/>
  </w:num>
  <w:num w:numId="52" w16cid:durableId="1680960883">
    <w:abstractNumId w:val="412"/>
  </w:num>
  <w:num w:numId="53" w16cid:durableId="690103763">
    <w:abstractNumId w:val="424"/>
  </w:num>
  <w:num w:numId="54" w16cid:durableId="1139810598">
    <w:abstractNumId w:val="106"/>
  </w:num>
  <w:num w:numId="55" w16cid:durableId="1427384536">
    <w:abstractNumId w:val="204"/>
  </w:num>
  <w:num w:numId="56" w16cid:durableId="446973763">
    <w:abstractNumId w:val="237"/>
  </w:num>
  <w:num w:numId="57" w16cid:durableId="139613241">
    <w:abstractNumId w:val="402"/>
  </w:num>
  <w:num w:numId="58" w16cid:durableId="1478181182">
    <w:abstractNumId w:val="312"/>
  </w:num>
  <w:num w:numId="59" w16cid:durableId="851795243">
    <w:abstractNumId w:val="214"/>
  </w:num>
  <w:num w:numId="60" w16cid:durableId="141238807">
    <w:abstractNumId w:val="100"/>
  </w:num>
  <w:num w:numId="61" w16cid:durableId="124935656">
    <w:abstractNumId w:val="191"/>
  </w:num>
  <w:num w:numId="62" w16cid:durableId="1207369823">
    <w:abstractNumId w:val="284"/>
  </w:num>
  <w:num w:numId="63" w16cid:durableId="1862473204">
    <w:abstractNumId w:val="498"/>
  </w:num>
  <w:num w:numId="64" w16cid:durableId="1905604542">
    <w:abstractNumId w:val="612"/>
  </w:num>
  <w:num w:numId="65" w16cid:durableId="982196344">
    <w:abstractNumId w:val="229"/>
  </w:num>
  <w:num w:numId="66" w16cid:durableId="1139298235">
    <w:abstractNumId w:val="377"/>
  </w:num>
  <w:num w:numId="67" w16cid:durableId="204954824">
    <w:abstractNumId w:val="86"/>
  </w:num>
  <w:num w:numId="68" w16cid:durableId="1038746496">
    <w:abstractNumId w:val="585"/>
  </w:num>
  <w:num w:numId="69" w16cid:durableId="1811558101">
    <w:abstractNumId w:val="507"/>
  </w:num>
  <w:num w:numId="70" w16cid:durableId="1843200846">
    <w:abstractNumId w:val="241"/>
  </w:num>
  <w:num w:numId="71" w16cid:durableId="1933119339">
    <w:abstractNumId w:val="497"/>
  </w:num>
  <w:num w:numId="72" w16cid:durableId="1036852241">
    <w:abstractNumId w:val="500"/>
  </w:num>
  <w:num w:numId="73" w16cid:durableId="1790315074">
    <w:abstractNumId w:val="14"/>
  </w:num>
  <w:num w:numId="74" w16cid:durableId="663705308">
    <w:abstractNumId w:val="89"/>
  </w:num>
  <w:num w:numId="75" w16cid:durableId="1957102363">
    <w:abstractNumId w:val="470"/>
  </w:num>
  <w:num w:numId="76" w16cid:durableId="1108499460">
    <w:abstractNumId w:val="554"/>
  </w:num>
  <w:num w:numId="77" w16cid:durableId="1234468293">
    <w:abstractNumId w:val="372"/>
  </w:num>
  <w:num w:numId="78" w16cid:durableId="798187297">
    <w:abstractNumId w:val="165"/>
  </w:num>
  <w:num w:numId="79" w16cid:durableId="1148740106">
    <w:abstractNumId w:val="583"/>
  </w:num>
  <w:num w:numId="80" w16cid:durableId="1447694620">
    <w:abstractNumId w:val="323"/>
  </w:num>
  <w:num w:numId="81" w16cid:durableId="390544746">
    <w:abstractNumId w:val="224"/>
  </w:num>
  <w:num w:numId="82" w16cid:durableId="1409034327">
    <w:abstractNumId w:val="339"/>
  </w:num>
  <w:num w:numId="83" w16cid:durableId="958491209">
    <w:abstractNumId w:val="175"/>
  </w:num>
  <w:num w:numId="84" w16cid:durableId="1079716391">
    <w:abstractNumId w:val="510"/>
  </w:num>
  <w:num w:numId="85" w16cid:durableId="1112434928">
    <w:abstractNumId w:val="452"/>
  </w:num>
  <w:num w:numId="86" w16cid:durableId="44765783">
    <w:abstractNumId w:val="230"/>
  </w:num>
  <w:num w:numId="87" w16cid:durableId="1506021163">
    <w:abstractNumId w:val="624"/>
  </w:num>
  <w:num w:numId="88" w16cid:durableId="231236709">
    <w:abstractNumId w:val="589"/>
  </w:num>
  <w:num w:numId="89" w16cid:durableId="1425108391">
    <w:abstractNumId w:val="324"/>
  </w:num>
  <w:num w:numId="90" w16cid:durableId="1859351942">
    <w:abstractNumId w:val="206"/>
  </w:num>
  <w:num w:numId="91" w16cid:durableId="1731536428">
    <w:abstractNumId w:val="129"/>
  </w:num>
  <w:num w:numId="92" w16cid:durableId="515383001">
    <w:abstractNumId w:val="37"/>
  </w:num>
  <w:num w:numId="93" w16cid:durableId="360398021">
    <w:abstractNumId w:val="169"/>
  </w:num>
  <w:num w:numId="94" w16cid:durableId="174923808">
    <w:abstractNumId w:val="264"/>
  </w:num>
  <w:num w:numId="95" w16cid:durableId="473181489">
    <w:abstractNumId w:val="21"/>
  </w:num>
  <w:num w:numId="96" w16cid:durableId="1788426273">
    <w:abstractNumId w:val="30"/>
  </w:num>
  <w:num w:numId="97" w16cid:durableId="436874185">
    <w:abstractNumId w:val="101"/>
  </w:num>
  <w:num w:numId="98" w16cid:durableId="1998848881">
    <w:abstractNumId w:val="451"/>
  </w:num>
  <w:num w:numId="99" w16cid:durableId="730663910">
    <w:abstractNumId w:val="120"/>
  </w:num>
  <w:num w:numId="100" w16cid:durableId="705720526">
    <w:abstractNumId w:val="53"/>
  </w:num>
  <w:num w:numId="101" w16cid:durableId="1403674464">
    <w:abstractNumId w:val="599"/>
  </w:num>
  <w:num w:numId="102" w16cid:durableId="815487411">
    <w:abstractNumId w:val="404"/>
  </w:num>
  <w:num w:numId="103" w16cid:durableId="1816412511">
    <w:abstractNumId w:val="245"/>
  </w:num>
  <w:num w:numId="104" w16cid:durableId="291403418">
    <w:abstractNumId w:val="65"/>
  </w:num>
  <w:num w:numId="105" w16cid:durableId="1038819725">
    <w:abstractNumId w:val="593"/>
  </w:num>
  <w:num w:numId="106" w16cid:durableId="1303459653">
    <w:abstractNumId w:val="31"/>
  </w:num>
  <w:num w:numId="107" w16cid:durableId="107505101">
    <w:abstractNumId w:val="131"/>
  </w:num>
  <w:num w:numId="108" w16cid:durableId="771316342">
    <w:abstractNumId w:val="296"/>
  </w:num>
  <w:num w:numId="109" w16cid:durableId="390857075">
    <w:abstractNumId w:val="518"/>
  </w:num>
  <w:num w:numId="110" w16cid:durableId="1317759215">
    <w:abstractNumId w:val="524"/>
  </w:num>
  <w:num w:numId="111" w16cid:durableId="1554851074">
    <w:abstractNumId w:val="178"/>
  </w:num>
  <w:num w:numId="112" w16cid:durableId="70590409">
    <w:abstractNumId w:val="456"/>
  </w:num>
  <w:num w:numId="113" w16cid:durableId="646208079">
    <w:abstractNumId w:val="428"/>
  </w:num>
  <w:num w:numId="114" w16cid:durableId="1368288384">
    <w:abstractNumId w:val="413"/>
  </w:num>
  <w:num w:numId="115" w16cid:durableId="925304387">
    <w:abstractNumId w:val="75"/>
  </w:num>
  <w:num w:numId="116" w16cid:durableId="1780564578">
    <w:abstractNumId w:val="286"/>
  </w:num>
  <w:num w:numId="117" w16cid:durableId="1897661843">
    <w:abstractNumId w:val="158"/>
  </w:num>
  <w:num w:numId="118" w16cid:durableId="262306618">
    <w:abstractNumId w:val="44"/>
  </w:num>
  <w:num w:numId="119" w16cid:durableId="1081870374">
    <w:abstractNumId w:val="329"/>
  </w:num>
  <w:num w:numId="120" w16cid:durableId="1550995798">
    <w:abstractNumId w:val="28"/>
  </w:num>
  <w:num w:numId="121" w16cid:durableId="551312743">
    <w:abstractNumId w:val="538"/>
  </w:num>
  <w:num w:numId="122" w16cid:durableId="2047170488">
    <w:abstractNumId w:val="399"/>
  </w:num>
  <w:num w:numId="123" w16cid:durableId="16395167">
    <w:abstractNumId w:val="249"/>
  </w:num>
  <w:num w:numId="124" w16cid:durableId="611131355">
    <w:abstractNumId w:val="164"/>
  </w:num>
  <w:num w:numId="125" w16cid:durableId="1214999949">
    <w:abstractNumId w:val="95"/>
  </w:num>
  <w:num w:numId="126" w16cid:durableId="1400477">
    <w:abstractNumId w:val="235"/>
  </w:num>
  <w:num w:numId="127" w16cid:durableId="161705551">
    <w:abstractNumId w:val="127"/>
  </w:num>
  <w:num w:numId="128" w16cid:durableId="479345889">
    <w:abstractNumId w:val="188"/>
  </w:num>
  <w:num w:numId="129" w16cid:durableId="1092092798">
    <w:abstractNumId w:val="464"/>
  </w:num>
  <w:num w:numId="130" w16cid:durableId="503056500">
    <w:abstractNumId w:val="425"/>
  </w:num>
  <w:num w:numId="131" w16cid:durableId="1823695070">
    <w:abstractNumId w:val="291"/>
  </w:num>
  <w:num w:numId="132" w16cid:durableId="1654142246">
    <w:abstractNumId w:val="170"/>
  </w:num>
  <w:num w:numId="133" w16cid:durableId="546262173">
    <w:abstractNumId w:val="572"/>
  </w:num>
  <w:num w:numId="134" w16cid:durableId="1971473118">
    <w:abstractNumId w:val="282"/>
  </w:num>
  <w:num w:numId="135" w16cid:durableId="1823081473">
    <w:abstractNumId w:val="591"/>
  </w:num>
  <w:num w:numId="136" w16cid:durableId="952133270">
    <w:abstractNumId w:val="280"/>
  </w:num>
  <w:num w:numId="137" w16cid:durableId="1273829588">
    <w:abstractNumId w:val="19"/>
  </w:num>
  <w:num w:numId="138" w16cid:durableId="972101207">
    <w:abstractNumId w:val="558"/>
  </w:num>
  <w:num w:numId="139" w16cid:durableId="1191842701">
    <w:abstractNumId w:val="216"/>
  </w:num>
  <w:num w:numId="140" w16cid:durableId="835608991">
    <w:abstractNumId w:val="117"/>
  </w:num>
  <w:num w:numId="141" w16cid:durableId="1512062161">
    <w:abstractNumId w:val="481"/>
  </w:num>
  <w:num w:numId="142" w16cid:durableId="1494103221">
    <w:abstractNumId w:val="400"/>
  </w:num>
  <w:num w:numId="143" w16cid:durableId="1018121323">
    <w:abstractNumId w:val="69"/>
  </w:num>
  <w:num w:numId="144" w16cid:durableId="1879588550">
    <w:abstractNumId w:val="92"/>
  </w:num>
  <w:num w:numId="145" w16cid:durableId="1134984519">
    <w:abstractNumId w:val="3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59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86"/>
  </w:num>
  <w:num w:numId="148" w16cid:durableId="1920865252">
    <w:abstractNumId w:val="403"/>
  </w:num>
  <w:num w:numId="149" w16cid:durableId="1342078707">
    <w:abstractNumId w:val="274"/>
  </w:num>
  <w:num w:numId="150" w16cid:durableId="193035228">
    <w:abstractNumId w:val="118"/>
  </w:num>
  <w:num w:numId="151" w16cid:durableId="184439367">
    <w:abstractNumId w:val="41"/>
  </w:num>
  <w:num w:numId="152" w16cid:durableId="621041337">
    <w:abstractNumId w:val="511"/>
  </w:num>
  <w:num w:numId="153" w16cid:durableId="1364986458">
    <w:abstractNumId w:val="150"/>
  </w:num>
  <w:num w:numId="154" w16cid:durableId="1097794206">
    <w:abstractNumId w:val="346"/>
  </w:num>
  <w:num w:numId="155" w16cid:durableId="471293945">
    <w:abstractNumId w:val="138"/>
  </w:num>
  <w:num w:numId="156" w16cid:durableId="233861890">
    <w:abstractNumId w:val="244"/>
  </w:num>
  <w:num w:numId="157" w16cid:durableId="1566799051">
    <w:abstractNumId w:val="306"/>
  </w:num>
  <w:num w:numId="158" w16cid:durableId="1935894964">
    <w:abstractNumId w:val="341"/>
  </w:num>
  <w:num w:numId="159" w16cid:durableId="1499075522">
    <w:abstractNumId w:val="200"/>
  </w:num>
  <w:num w:numId="160" w16cid:durableId="474370772">
    <w:abstractNumId w:val="105"/>
  </w:num>
  <w:num w:numId="161" w16cid:durableId="1393389754">
    <w:abstractNumId w:val="113"/>
  </w:num>
  <w:num w:numId="162" w16cid:durableId="1534030185">
    <w:abstractNumId w:val="493"/>
  </w:num>
  <w:num w:numId="163" w16cid:durableId="279646940">
    <w:abstractNumId w:val="173"/>
  </w:num>
  <w:num w:numId="164" w16cid:durableId="605312509">
    <w:abstractNumId w:val="457"/>
  </w:num>
  <w:num w:numId="165" w16cid:durableId="443185882">
    <w:abstractNumId w:val="563"/>
  </w:num>
  <w:num w:numId="166" w16cid:durableId="1252742756">
    <w:abstractNumId w:val="93"/>
  </w:num>
  <w:num w:numId="167" w16cid:durableId="260846523">
    <w:abstractNumId w:val="401"/>
  </w:num>
  <w:num w:numId="168" w16cid:durableId="1324041525">
    <w:abstractNumId w:val="347"/>
  </w:num>
  <w:num w:numId="169" w16cid:durableId="1262252593">
    <w:abstractNumId w:val="325"/>
  </w:num>
  <w:num w:numId="170" w16cid:durableId="568425394">
    <w:abstractNumId w:val="495"/>
  </w:num>
  <w:num w:numId="171" w16cid:durableId="1098595399">
    <w:abstractNumId w:val="322"/>
  </w:num>
  <w:num w:numId="172" w16cid:durableId="966275078">
    <w:abstractNumId w:val="243"/>
  </w:num>
  <w:num w:numId="173" w16cid:durableId="17505991">
    <w:abstractNumId w:val="579"/>
  </w:num>
  <w:num w:numId="174" w16cid:durableId="2122797601">
    <w:abstractNumId w:val="512"/>
  </w:num>
  <w:num w:numId="175" w16cid:durableId="260995503">
    <w:abstractNumId w:val="207"/>
  </w:num>
  <w:num w:numId="176" w16cid:durableId="79330256">
    <w:abstractNumId w:val="107"/>
  </w:num>
  <w:num w:numId="177" w16cid:durableId="926495480">
    <w:abstractNumId w:val="598"/>
  </w:num>
  <w:num w:numId="178" w16cid:durableId="426199675">
    <w:abstractNumId w:val="265"/>
  </w:num>
  <w:num w:numId="179" w16cid:durableId="669715114">
    <w:abstractNumId w:val="3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74"/>
  </w:num>
  <w:num w:numId="181" w16cid:durableId="616567933">
    <w:abstractNumId w:val="142"/>
  </w:num>
  <w:num w:numId="182" w16cid:durableId="848452348">
    <w:abstractNumId w:val="192"/>
  </w:num>
  <w:num w:numId="183" w16cid:durableId="1333797169">
    <w:abstractNumId w:val="289"/>
  </w:num>
  <w:num w:numId="184" w16cid:durableId="2044944210">
    <w:abstractNumId w:val="23"/>
  </w:num>
  <w:num w:numId="185" w16cid:durableId="183713347">
    <w:abstractNumId w:val="384"/>
  </w:num>
  <w:num w:numId="186" w16cid:durableId="1265381070">
    <w:abstractNumId w:val="606"/>
  </w:num>
  <w:num w:numId="187" w16cid:durableId="1455371280">
    <w:abstractNumId w:val="600"/>
  </w:num>
  <w:num w:numId="188" w16cid:durableId="13771316">
    <w:abstractNumId w:val="543"/>
  </w:num>
  <w:num w:numId="189" w16cid:durableId="1552574112">
    <w:abstractNumId w:val="122"/>
  </w:num>
  <w:num w:numId="190" w16cid:durableId="1183209648">
    <w:abstractNumId w:val="623"/>
  </w:num>
  <w:num w:numId="191" w16cid:durableId="620651123">
    <w:abstractNumId w:val="220"/>
  </w:num>
  <w:num w:numId="192" w16cid:durableId="512190583">
    <w:abstractNumId w:val="553"/>
  </w:num>
  <w:num w:numId="193" w16cid:durableId="1812013657">
    <w:abstractNumId w:val="4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2"/>
  </w:num>
  <w:num w:numId="195" w16cid:durableId="480510505">
    <w:abstractNumId w:val="559"/>
  </w:num>
  <w:num w:numId="196" w16cid:durableId="348870539">
    <w:abstractNumId w:val="177"/>
  </w:num>
  <w:num w:numId="197" w16cid:durableId="755174581">
    <w:abstractNumId w:val="532"/>
  </w:num>
  <w:num w:numId="198" w16cid:durableId="682511064">
    <w:abstractNumId w:val="197"/>
  </w:num>
  <w:num w:numId="199" w16cid:durableId="213124055">
    <w:abstractNumId w:val="145"/>
  </w:num>
  <w:num w:numId="200" w16cid:durableId="1930961606">
    <w:abstractNumId w:val="156"/>
  </w:num>
  <w:num w:numId="201" w16cid:durableId="1187672001">
    <w:abstractNumId w:val="123"/>
  </w:num>
  <w:num w:numId="202" w16cid:durableId="140732686">
    <w:abstractNumId w:val="605"/>
  </w:num>
  <w:num w:numId="203" w16cid:durableId="2099668977">
    <w:abstractNumId w:val="515"/>
  </w:num>
  <w:num w:numId="204" w16cid:durableId="1423330075">
    <w:abstractNumId w:val="352"/>
  </w:num>
  <w:num w:numId="205" w16cid:durableId="516430635">
    <w:abstractNumId w:val="355"/>
  </w:num>
  <w:num w:numId="206" w16cid:durableId="132914076">
    <w:abstractNumId w:val="516"/>
  </w:num>
  <w:num w:numId="207" w16cid:durableId="1553468210">
    <w:abstractNumId w:val="185"/>
  </w:num>
  <w:num w:numId="208" w16cid:durableId="530605028">
    <w:abstractNumId w:val="162"/>
  </w:num>
  <w:num w:numId="209" w16cid:durableId="1896356902">
    <w:abstractNumId w:val="3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16"/>
  </w:num>
  <w:num w:numId="211" w16cid:durableId="923496937">
    <w:abstractNumId w:val="134"/>
  </w:num>
  <w:num w:numId="212" w16cid:durableId="1288967158">
    <w:abstractNumId w:val="502"/>
  </w:num>
  <w:num w:numId="213" w16cid:durableId="2100056123">
    <w:abstractNumId w:val="506"/>
  </w:num>
  <w:num w:numId="214" w16cid:durableId="674382947">
    <w:abstractNumId w:val="354"/>
  </w:num>
  <w:num w:numId="215" w16cid:durableId="1600212391">
    <w:abstractNumId w:val="7"/>
  </w:num>
  <w:num w:numId="216" w16cid:durableId="957178947">
    <w:abstractNumId w:val="575"/>
  </w:num>
  <w:num w:numId="217" w16cid:durableId="856037630">
    <w:abstractNumId w:val="287"/>
  </w:num>
  <w:num w:numId="218" w16cid:durableId="177741845">
    <w:abstractNumId w:val="378"/>
  </w:num>
  <w:num w:numId="219" w16cid:durableId="234317243">
    <w:abstractNumId w:val="327"/>
  </w:num>
  <w:num w:numId="220" w16cid:durableId="207114382">
    <w:abstractNumId w:val="360"/>
  </w:num>
  <w:num w:numId="221" w16cid:durableId="499197150">
    <w:abstractNumId w:val="345"/>
  </w:num>
  <w:num w:numId="222" w16cid:durableId="208733871">
    <w:abstractNumId w:val="548"/>
  </w:num>
  <w:num w:numId="223" w16cid:durableId="650669702">
    <w:abstractNumId w:val="42"/>
  </w:num>
  <w:num w:numId="224" w16cid:durableId="1420369411">
    <w:abstractNumId w:val="90"/>
  </w:num>
  <w:num w:numId="225" w16cid:durableId="2138523187">
    <w:abstractNumId w:val="356"/>
  </w:num>
  <w:num w:numId="226" w16cid:durableId="1753432703">
    <w:abstractNumId w:val="40"/>
  </w:num>
  <w:num w:numId="227" w16cid:durableId="1286698376">
    <w:abstractNumId w:val="442"/>
  </w:num>
  <w:num w:numId="228" w16cid:durableId="926614891">
    <w:abstractNumId w:val="195"/>
  </w:num>
  <w:num w:numId="229" w16cid:durableId="2003779183">
    <w:abstractNumId w:val="39"/>
  </w:num>
  <w:num w:numId="230" w16cid:durableId="1626421133">
    <w:abstractNumId w:val="357"/>
  </w:num>
  <w:num w:numId="231" w16cid:durableId="1514107354">
    <w:abstractNumId w:val="76"/>
  </w:num>
  <w:num w:numId="232" w16cid:durableId="2002198122">
    <w:abstractNumId w:val="318"/>
  </w:num>
  <w:num w:numId="233" w16cid:durableId="65298297">
    <w:abstractNumId w:val="334"/>
  </w:num>
  <w:num w:numId="234" w16cid:durableId="9379085">
    <w:abstractNumId w:val="552"/>
  </w:num>
  <w:num w:numId="235" w16cid:durableId="792747114">
    <w:abstractNumId w:val="447"/>
  </w:num>
  <w:num w:numId="236" w16cid:durableId="448009427">
    <w:abstractNumId w:val="405"/>
  </w:num>
  <w:num w:numId="237" w16cid:durableId="464274601">
    <w:abstractNumId w:val="303"/>
  </w:num>
  <w:num w:numId="238" w16cid:durableId="1460339731">
    <w:abstractNumId w:val="87"/>
  </w:num>
  <w:num w:numId="239" w16cid:durableId="2088336002">
    <w:abstractNumId w:val="144"/>
  </w:num>
  <w:num w:numId="240" w16cid:durableId="716852569">
    <w:abstractNumId w:val="367"/>
  </w:num>
  <w:num w:numId="241" w16cid:durableId="573198160">
    <w:abstractNumId w:val="61"/>
  </w:num>
  <w:num w:numId="242" w16cid:durableId="2128695751">
    <w:abstractNumId w:val="201"/>
  </w:num>
  <w:num w:numId="243" w16cid:durableId="355353616">
    <w:abstractNumId w:val="501"/>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51"/>
  </w:num>
  <w:num w:numId="249" w16cid:durableId="911039511">
    <w:abstractNumId w:val="479"/>
  </w:num>
  <w:num w:numId="250" w16cid:durableId="689067992">
    <w:abstractNumId w:val="595"/>
  </w:num>
  <w:num w:numId="251" w16cid:durableId="88621504">
    <w:abstractNumId w:val="3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22"/>
  </w:num>
  <w:num w:numId="253" w16cid:durableId="704646338">
    <w:abstractNumId w:val="586"/>
  </w:num>
  <w:num w:numId="254" w16cid:durableId="411121149">
    <w:abstractNumId w:val="3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17"/>
  </w:num>
  <w:num w:numId="256" w16cid:durableId="1623340113">
    <w:abstractNumId w:val="34"/>
  </w:num>
  <w:num w:numId="257" w16cid:durableId="856625358">
    <w:abstractNumId w:val="567"/>
  </w:num>
  <w:num w:numId="258" w16cid:durableId="1943561945">
    <w:abstractNumId w:val="394"/>
    <w:lvlOverride w:ilvl="0">
      <w:startOverride w:val="1"/>
    </w:lvlOverride>
  </w:num>
  <w:num w:numId="259" w16cid:durableId="1362588517">
    <w:abstractNumId w:val="373"/>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66"/>
  </w:num>
  <w:num w:numId="261" w16cid:durableId="2024940103">
    <w:abstractNumId w:val="534"/>
  </w:num>
  <w:num w:numId="262" w16cid:durableId="765005926">
    <w:abstractNumId w:val="221"/>
  </w:num>
  <w:num w:numId="263" w16cid:durableId="1064451611">
    <w:abstractNumId w:val="114"/>
  </w:num>
  <w:num w:numId="264" w16cid:durableId="1318849390">
    <w:abstractNumId w:val="492"/>
  </w:num>
  <w:num w:numId="265" w16cid:durableId="959382145">
    <w:abstractNumId w:val="57"/>
  </w:num>
  <w:num w:numId="266" w16cid:durableId="850728947">
    <w:abstractNumId w:val="33"/>
  </w:num>
  <w:num w:numId="267" w16cid:durableId="174156760">
    <w:abstractNumId w:val="478"/>
  </w:num>
  <w:num w:numId="268" w16cid:durableId="2101950285">
    <w:abstractNumId w:val="273"/>
  </w:num>
  <w:num w:numId="269" w16cid:durableId="967247845">
    <w:abstractNumId w:val="187"/>
  </w:num>
  <w:num w:numId="270" w16cid:durableId="268204703">
    <w:abstractNumId w:val="128"/>
  </w:num>
  <w:num w:numId="271" w16cid:durableId="2093041769">
    <w:abstractNumId w:val="363"/>
  </w:num>
  <w:num w:numId="272" w16cid:durableId="513807455">
    <w:abstractNumId w:val="611"/>
  </w:num>
  <w:num w:numId="273" w16cid:durableId="1183780686">
    <w:abstractNumId w:val="321"/>
  </w:num>
  <w:num w:numId="274" w16cid:durableId="1200363486">
    <w:abstractNumId w:val="63"/>
  </w:num>
  <w:num w:numId="275" w16cid:durableId="1744914822">
    <w:abstractNumId w:val="267"/>
  </w:num>
  <w:num w:numId="276" w16cid:durableId="1454054575">
    <w:abstractNumId w:val="152"/>
  </w:num>
  <w:num w:numId="277" w16cid:durableId="375928787">
    <w:abstractNumId w:val="382"/>
  </w:num>
  <w:num w:numId="278" w16cid:durableId="1404376487">
    <w:abstractNumId w:val="419"/>
  </w:num>
  <w:num w:numId="279" w16cid:durableId="1476684686">
    <w:abstractNumId w:val="551"/>
  </w:num>
  <w:num w:numId="280" w16cid:durableId="1680085818">
    <w:abstractNumId w:val="376"/>
  </w:num>
  <w:num w:numId="281" w16cid:durableId="1538276170">
    <w:abstractNumId w:val="545"/>
  </w:num>
  <w:num w:numId="282" w16cid:durableId="1233586950">
    <w:abstractNumId w:val="450"/>
  </w:num>
  <w:num w:numId="283" w16cid:durableId="511064844">
    <w:abstractNumId w:val="587"/>
  </w:num>
  <w:num w:numId="284" w16cid:durableId="112678227">
    <w:abstractNumId w:val="10"/>
  </w:num>
  <w:num w:numId="285" w16cid:durableId="246619738">
    <w:abstractNumId w:val="462"/>
  </w:num>
  <w:num w:numId="286" w16cid:durableId="149561389">
    <w:abstractNumId w:val="608"/>
  </w:num>
  <w:num w:numId="287" w16cid:durableId="96491753">
    <w:abstractNumId w:val="369"/>
  </w:num>
  <w:num w:numId="288" w16cid:durableId="528303774">
    <w:abstractNumId w:val="434"/>
  </w:num>
  <w:num w:numId="289" w16cid:durableId="1795559387">
    <w:abstractNumId w:val="445"/>
  </w:num>
  <w:num w:numId="290" w16cid:durableId="1876968532">
    <w:abstractNumId w:val="151"/>
  </w:num>
  <w:num w:numId="291" w16cid:durableId="340552470">
    <w:abstractNumId w:val="73"/>
  </w:num>
  <w:num w:numId="292" w16cid:durableId="1955091229">
    <w:abstractNumId w:val="550"/>
  </w:num>
  <w:num w:numId="293" w16cid:durableId="1420175202">
    <w:abstractNumId w:val="254"/>
  </w:num>
  <w:num w:numId="294" w16cid:durableId="384720639">
    <w:abstractNumId w:val="96"/>
  </w:num>
  <w:num w:numId="295" w16cid:durableId="904418190">
    <w:abstractNumId w:val="64"/>
  </w:num>
  <w:num w:numId="296" w16cid:durableId="1065756989">
    <w:abstractNumId w:val="299"/>
  </w:num>
  <w:num w:numId="297" w16cid:durableId="1247687493">
    <w:abstractNumId w:val="239"/>
  </w:num>
  <w:num w:numId="298" w16cid:durableId="462233371">
    <w:abstractNumId w:val="368"/>
  </w:num>
  <w:num w:numId="299" w16cid:durableId="318310673">
    <w:abstractNumId w:val="365"/>
  </w:num>
  <w:num w:numId="300" w16cid:durableId="2061663196">
    <w:abstractNumId w:val="487"/>
  </w:num>
  <w:num w:numId="301" w16cid:durableId="1741949037">
    <w:abstractNumId w:val="319"/>
  </w:num>
  <w:num w:numId="302" w16cid:durableId="1636518501">
    <w:abstractNumId w:val="561"/>
  </w:num>
  <w:num w:numId="303" w16cid:durableId="1371419210">
    <w:abstractNumId w:val="226"/>
  </w:num>
  <w:num w:numId="304" w16cid:durableId="1885681087">
    <w:abstractNumId w:val="126"/>
  </w:num>
  <w:num w:numId="305" w16cid:durableId="718092894">
    <w:abstractNumId w:val="270"/>
  </w:num>
  <w:num w:numId="306" w16cid:durableId="1456869833">
    <w:abstractNumId w:val="438"/>
  </w:num>
  <w:num w:numId="307" w16cid:durableId="1516637">
    <w:abstractNumId w:val="32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1"/>
  </w:num>
  <w:num w:numId="309" w16cid:durableId="524487630">
    <w:abstractNumId w:val="460"/>
  </w:num>
  <w:num w:numId="310" w16cid:durableId="155269771">
    <w:abstractNumId w:val="621"/>
  </w:num>
  <w:num w:numId="311" w16cid:durableId="520316022">
    <w:abstractNumId w:val="24"/>
  </w:num>
  <w:num w:numId="312" w16cid:durableId="1586840183">
    <w:abstractNumId w:val="449"/>
  </w:num>
  <w:num w:numId="313" w16cid:durableId="487598853">
    <w:abstractNumId w:val="482"/>
  </w:num>
  <w:num w:numId="314" w16cid:durableId="416442120">
    <w:abstractNumId w:val="420"/>
  </w:num>
  <w:num w:numId="315" w16cid:durableId="1570186959">
    <w:abstractNumId w:val="67"/>
  </w:num>
  <w:num w:numId="316" w16cid:durableId="235360647">
    <w:abstractNumId w:val="513"/>
  </w:num>
  <w:num w:numId="317" w16cid:durableId="20127502">
    <w:abstractNumId w:val="20"/>
  </w:num>
  <w:num w:numId="318" w16cid:durableId="190412543">
    <w:abstractNumId w:val="494"/>
  </w:num>
  <w:num w:numId="319" w16cid:durableId="1723820181">
    <w:abstractNumId w:val="458"/>
  </w:num>
  <w:num w:numId="320" w16cid:durableId="1859003746">
    <w:abstractNumId w:val="215"/>
  </w:num>
  <w:num w:numId="321" w16cid:durableId="1745760329">
    <w:abstractNumId w:val="417"/>
  </w:num>
  <w:num w:numId="322" w16cid:durableId="329722360">
    <w:abstractNumId w:val="556"/>
  </w:num>
  <w:num w:numId="323" w16cid:durableId="1257782715">
    <w:abstractNumId w:val="70"/>
  </w:num>
  <w:num w:numId="324" w16cid:durableId="2082945470">
    <w:abstractNumId w:val="488"/>
  </w:num>
  <w:num w:numId="325" w16cid:durableId="1883594749">
    <w:abstractNumId w:val="566"/>
  </w:num>
  <w:num w:numId="326" w16cid:durableId="1222518158">
    <w:abstractNumId w:val="508"/>
  </w:num>
  <w:num w:numId="327" w16cid:durableId="2131241630">
    <w:abstractNumId w:val="349"/>
  </w:num>
  <w:num w:numId="328" w16cid:durableId="617218877">
    <w:abstractNumId w:val="133"/>
  </w:num>
  <w:num w:numId="329" w16cid:durableId="1485197917">
    <w:abstractNumId w:val="380"/>
  </w:num>
  <w:num w:numId="330" w16cid:durableId="19472295">
    <w:abstractNumId w:val="484"/>
  </w:num>
  <w:num w:numId="331" w16cid:durableId="344871083">
    <w:abstractNumId w:val="183"/>
  </w:num>
  <w:num w:numId="332" w16cid:durableId="145324763">
    <w:abstractNumId w:val="154"/>
  </w:num>
  <w:num w:numId="333" w16cid:durableId="1867518763">
    <w:abstractNumId w:val="294"/>
  </w:num>
  <w:num w:numId="334" w16cid:durableId="341056865">
    <w:abstractNumId w:val="503"/>
  </w:num>
  <w:num w:numId="335" w16cid:durableId="921185223">
    <w:abstractNumId w:val="446"/>
  </w:num>
  <w:num w:numId="336" w16cid:durableId="607853744">
    <w:abstractNumId w:val="272"/>
  </w:num>
  <w:num w:numId="337" w16cid:durableId="913128973">
    <w:abstractNumId w:val="616"/>
  </w:num>
  <w:num w:numId="338" w16cid:durableId="1198350464">
    <w:abstractNumId w:val="315"/>
  </w:num>
  <w:num w:numId="339" w16cid:durableId="1256136611">
    <w:abstractNumId w:val="582"/>
  </w:num>
  <w:num w:numId="340" w16cid:durableId="1824157706">
    <w:abstractNumId w:val="66"/>
  </w:num>
  <w:num w:numId="341" w16cid:durableId="8800527">
    <w:abstractNumId w:val="252"/>
  </w:num>
  <w:num w:numId="342" w16cid:durableId="149835737">
    <w:abstractNumId w:val="298"/>
  </w:num>
  <w:num w:numId="343" w16cid:durableId="99885260">
    <w:abstractNumId w:val="348"/>
  </w:num>
  <w:num w:numId="344" w16cid:durableId="1664966953">
    <w:abstractNumId w:val="16"/>
  </w:num>
  <w:num w:numId="345" w16cid:durableId="820730037">
    <w:abstractNumId w:val="160"/>
  </w:num>
  <w:num w:numId="346" w16cid:durableId="1491023493">
    <w:abstractNumId w:val="176"/>
  </w:num>
  <w:num w:numId="347" w16cid:durableId="1142112344">
    <w:abstractNumId w:val="564"/>
  </w:num>
  <w:num w:numId="348" w16cid:durableId="1102455083">
    <w:abstractNumId w:val="626"/>
  </w:num>
  <w:num w:numId="349" w16cid:durableId="405344657">
    <w:abstractNumId w:val="0"/>
  </w:num>
  <w:num w:numId="350" w16cid:durableId="363361753">
    <w:abstractNumId w:val="209"/>
  </w:num>
  <w:num w:numId="351" w16cid:durableId="1430195391">
    <w:abstractNumId w:val="391"/>
  </w:num>
  <w:num w:numId="352" w16cid:durableId="675574196">
    <w:abstractNumId w:val="295"/>
  </w:num>
  <w:num w:numId="353" w16cid:durableId="1331830237">
    <w:abstractNumId w:val="279"/>
  </w:num>
  <w:num w:numId="354" w16cid:durableId="1665207310">
    <w:abstractNumId w:val="607"/>
  </w:num>
  <w:num w:numId="355" w16cid:durableId="630014183">
    <w:abstractNumId w:val="505"/>
  </w:num>
  <w:num w:numId="356" w16cid:durableId="653221145">
    <w:abstractNumId w:val="88"/>
  </w:num>
  <w:num w:numId="357" w16cid:durableId="1468623886">
    <w:abstractNumId w:val="140"/>
  </w:num>
  <w:num w:numId="358" w16cid:durableId="493569940">
    <w:abstractNumId w:val="411"/>
  </w:num>
  <w:num w:numId="359" w16cid:durableId="1169977916">
    <w:abstractNumId w:val="11"/>
  </w:num>
  <w:num w:numId="360" w16cid:durableId="742143149">
    <w:abstractNumId w:val="231"/>
  </w:num>
  <w:num w:numId="361" w16cid:durableId="393503111">
    <w:abstractNumId w:val="205"/>
  </w:num>
  <w:num w:numId="362" w16cid:durableId="944575105">
    <w:abstractNumId w:val="453"/>
  </w:num>
  <w:num w:numId="363" w16cid:durableId="487399848">
    <w:abstractNumId w:val="496"/>
  </w:num>
  <w:num w:numId="364" w16cid:durableId="1751198630">
    <w:abstractNumId w:val="471"/>
  </w:num>
  <w:num w:numId="365" w16cid:durableId="791945339">
    <w:abstractNumId w:val="388"/>
  </w:num>
  <w:num w:numId="366" w16cid:durableId="1229077118">
    <w:abstractNumId w:val="619"/>
  </w:num>
  <w:num w:numId="367" w16cid:durableId="734670757">
    <w:abstractNumId w:val="509"/>
  </w:num>
  <w:num w:numId="368" w16cid:durableId="442531277">
    <w:abstractNumId w:val="163"/>
  </w:num>
  <w:num w:numId="369" w16cid:durableId="139540584">
    <w:abstractNumId w:val="410"/>
  </w:num>
  <w:num w:numId="370" w16cid:durableId="756024966">
    <w:abstractNumId w:val="301"/>
  </w:num>
  <w:num w:numId="371" w16cid:durableId="1651015305">
    <w:abstractNumId w:val="308"/>
  </w:num>
  <w:num w:numId="372" w16cid:durableId="348140211">
    <w:abstractNumId w:val="155"/>
  </w:num>
  <w:num w:numId="373" w16cid:durableId="1092360015">
    <w:abstractNumId w:val="43"/>
  </w:num>
  <w:num w:numId="374" w16cid:durableId="1837568906">
    <w:abstractNumId w:val="310"/>
  </w:num>
  <w:num w:numId="375" w16cid:durableId="1465659874">
    <w:abstractNumId w:val="499"/>
  </w:num>
  <w:num w:numId="376" w16cid:durableId="1716079692">
    <w:abstractNumId w:val="320"/>
  </w:num>
  <w:num w:numId="377" w16cid:durableId="1440295206">
    <w:abstractNumId w:val="398"/>
  </w:num>
  <w:num w:numId="378" w16cid:durableId="1171214127">
    <w:abstractNumId w:val="9"/>
  </w:num>
  <w:num w:numId="379" w16cid:durableId="1901942021">
    <w:abstractNumId w:val="137"/>
  </w:num>
  <w:num w:numId="380" w16cid:durableId="2007710354">
    <w:abstractNumId w:val="293"/>
  </w:num>
  <w:num w:numId="381" w16cid:durableId="1055737410">
    <w:abstractNumId w:val="361"/>
  </w:num>
  <w:num w:numId="382" w16cid:durableId="473067165">
    <w:abstractNumId w:val="110"/>
  </w:num>
  <w:num w:numId="383" w16cid:durableId="1438066315">
    <w:abstractNumId w:val="82"/>
  </w:num>
  <w:num w:numId="384" w16cid:durableId="1544176313">
    <w:abstractNumId w:val="620"/>
  </w:num>
  <w:num w:numId="385" w16cid:durableId="1903103185">
    <w:abstractNumId w:val="414"/>
  </w:num>
  <w:num w:numId="386" w16cid:durableId="1810398006">
    <w:abstractNumId w:val="108"/>
  </w:num>
  <w:num w:numId="387" w16cid:durableId="471675312">
    <w:abstractNumId w:val="130"/>
  </w:num>
  <w:num w:numId="388" w16cid:durableId="1501697030">
    <w:abstractNumId w:val="222"/>
  </w:num>
  <w:num w:numId="389" w16cid:durableId="1686326770">
    <w:abstractNumId w:val="381"/>
  </w:num>
  <w:num w:numId="390" w16cid:durableId="2093039795">
    <w:abstractNumId w:val="103"/>
  </w:num>
  <w:num w:numId="391" w16cid:durableId="1265500361">
    <w:abstractNumId w:val="614"/>
  </w:num>
  <w:num w:numId="392" w16cid:durableId="1495223456">
    <w:abstractNumId w:val="250"/>
  </w:num>
  <w:num w:numId="393" w16cid:durableId="1589192185">
    <w:abstractNumId w:val="331"/>
  </w:num>
  <w:num w:numId="394" w16cid:durableId="154689712">
    <w:abstractNumId w:val="383"/>
  </w:num>
  <w:num w:numId="395" w16cid:durableId="4938298">
    <w:abstractNumId w:val="590"/>
  </w:num>
  <w:num w:numId="396" w16cid:durableId="866676287">
    <w:abstractNumId w:val="528"/>
  </w:num>
  <w:num w:numId="397" w16cid:durableId="918059966">
    <w:abstractNumId w:val="474"/>
  </w:num>
  <w:num w:numId="398" w16cid:durableId="2049992704">
    <w:abstractNumId w:val="439"/>
  </w:num>
  <w:num w:numId="399" w16cid:durableId="391542335">
    <w:abstractNumId w:val="119"/>
  </w:num>
  <w:num w:numId="400" w16cid:durableId="506940125">
    <w:abstractNumId w:val="102"/>
  </w:num>
  <w:num w:numId="401" w16cid:durableId="1317996049">
    <w:abstractNumId w:val="610"/>
  </w:num>
  <w:num w:numId="402" w16cid:durableId="1593079781">
    <w:abstractNumId w:val="387"/>
  </w:num>
  <w:num w:numId="403" w16cid:durableId="1488939056">
    <w:abstractNumId w:val="576"/>
  </w:num>
  <w:num w:numId="404" w16cid:durableId="1328902201">
    <w:abstractNumId w:val="371"/>
  </w:num>
  <w:num w:numId="405" w16cid:durableId="498154761">
    <w:abstractNumId w:val="415"/>
  </w:num>
  <w:num w:numId="406" w16cid:durableId="1099062148">
    <w:abstractNumId w:val="370"/>
  </w:num>
  <w:num w:numId="407" w16cid:durableId="606162016">
    <w:abstractNumId w:val="302"/>
  </w:num>
  <w:num w:numId="408" w16cid:durableId="1442870423">
    <w:abstractNumId w:val="268"/>
  </w:num>
  <w:num w:numId="409" w16cid:durableId="51584679">
    <w:abstractNumId w:val="77"/>
  </w:num>
  <w:num w:numId="410" w16cid:durableId="750934413">
    <w:abstractNumId w:val="570"/>
  </w:num>
  <w:num w:numId="411" w16cid:durableId="791438090">
    <w:abstractNumId w:val="408"/>
  </w:num>
  <w:num w:numId="412" w16cid:durableId="1287543025">
    <w:abstractNumId w:val="74"/>
  </w:num>
  <w:num w:numId="413" w16cid:durableId="1588229722">
    <w:abstractNumId w:val="555"/>
  </w:num>
  <w:num w:numId="414" w16cid:durableId="791438594">
    <w:abstractNumId w:val="429"/>
  </w:num>
  <w:num w:numId="415" w16cid:durableId="1453359052">
    <w:abstractNumId w:val="427"/>
  </w:num>
  <w:num w:numId="416" w16cid:durableId="31661157">
    <w:abstractNumId w:val="253"/>
  </w:num>
  <w:num w:numId="417" w16cid:durableId="2021002296">
    <w:abstractNumId w:val="112"/>
  </w:num>
  <w:num w:numId="418" w16cid:durableId="2095858963">
    <w:abstractNumId w:val="248"/>
  </w:num>
  <w:num w:numId="419" w16cid:durableId="728304727">
    <w:abstractNumId w:val="364"/>
  </w:num>
  <w:num w:numId="420" w16cid:durableId="135026824">
    <w:abstractNumId w:val="473"/>
  </w:num>
  <w:num w:numId="421" w16cid:durableId="687558800">
    <w:abstractNumId w:val="257"/>
  </w:num>
  <w:num w:numId="422" w16cid:durableId="1478257203">
    <w:abstractNumId w:val="309"/>
  </w:num>
  <w:num w:numId="423" w16cid:durableId="1755858945">
    <w:abstractNumId w:val="104"/>
  </w:num>
  <w:num w:numId="424" w16cid:durableId="418870151">
    <w:abstractNumId w:val="285"/>
  </w:num>
  <w:num w:numId="425" w16cid:durableId="1471745036">
    <w:abstractNumId w:val="179"/>
  </w:num>
  <w:num w:numId="426" w16cid:durableId="1358852517">
    <w:abstractNumId w:val="395"/>
  </w:num>
  <w:num w:numId="427" w16cid:durableId="467094316">
    <w:abstractNumId w:val="432"/>
  </w:num>
  <w:num w:numId="428" w16cid:durableId="330644128">
    <w:abstractNumId w:val="472"/>
  </w:num>
  <w:num w:numId="429" w16cid:durableId="1005744783">
    <w:abstractNumId w:val="490"/>
  </w:num>
  <w:num w:numId="430" w16cid:durableId="891573454">
    <w:abstractNumId w:val="255"/>
  </w:num>
  <w:num w:numId="431" w16cid:durableId="479660585">
    <w:abstractNumId w:val="392"/>
  </w:num>
  <w:num w:numId="432" w16cid:durableId="57939998">
    <w:abstractNumId w:val="469"/>
  </w:num>
  <w:num w:numId="433" w16cid:durableId="1840348433">
    <w:abstractNumId w:val="435"/>
  </w:num>
  <w:num w:numId="434" w16cid:durableId="1055738636">
    <w:abstractNumId w:val="99"/>
  </w:num>
  <w:num w:numId="435" w16cid:durableId="1213273520">
    <w:abstractNumId w:val="146"/>
  </w:num>
  <w:num w:numId="436" w16cid:durableId="614017512">
    <w:abstractNumId w:val="51"/>
  </w:num>
  <w:num w:numId="437" w16cid:durableId="1820147091">
    <w:abstractNumId w:val="562"/>
  </w:num>
  <w:num w:numId="438" w16cid:durableId="2112894459">
    <w:abstractNumId w:val="115"/>
  </w:num>
  <w:num w:numId="439" w16cid:durableId="341131866">
    <w:abstractNumId w:val="615"/>
  </w:num>
  <w:num w:numId="440" w16cid:durableId="719019349">
    <w:abstractNumId w:val="62"/>
  </w:num>
  <w:num w:numId="441" w16cid:durableId="1558131142">
    <w:abstractNumId w:val="436"/>
  </w:num>
  <w:num w:numId="442" w16cid:durableId="881096831">
    <w:abstractNumId w:val="91"/>
  </w:num>
  <w:num w:numId="443" w16cid:durableId="17440114">
    <w:abstractNumId w:val="418"/>
  </w:num>
  <w:num w:numId="444" w16cid:durableId="1392651313">
    <w:abstractNumId w:val="8"/>
  </w:num>
  <w:num w:numId="445" w16cid:durableId="469128910">
    <w:abstractNumId w:val="260"/>
  </w:num>
  <w:num w:numId="446" w16cid:durableId="1903910086">
    <w:abstractNumId w:val="448"/>
  </w:num>
  <w:num w:numId="447" w16cid:durableId="1828128566">
    <w:abstractNumId w:val="539"/>
  </w:num>
  <w:num w:numId="448" w16cid:durableId="1478260771">
    <w:abstractNumId w:val="467"/>
  </w:num>
  <w:num w:numId="449" w16cid:durableId="765030875">
    <w:abstractNumId w:val="240"/>
  </w:num>
  <w:num w:numId="450" w16cid:durableId="576861868">
    <w:abstractNumId w:val="521"/>
  </w:num>
  <w:num w:numId="451" w16cid:durableId="788861617">
    <w:abstractNumId w:val="541"/>
  </w:num>
  <w:num w:numId="452" w16cid:durableId="1294872015">
    <w:abstractNumId w:val="300"/>
  </w:num>
  <w:num w:numId="453" w16cid:durableId="518547440">
    <w:abstractNumId w:val="202"/>
  </w:num>
  <w:num w:numId="454" w16cid:durableId="652565661">
    <w:abstractNumId w:val="328"/>
  </w:num>
  <w:num w:numId="455" w16cid:durableId="1154906227">
    <w:abstractNumId w:val="256"/>
  </w:num>
  <w:num w:numId="456" w16cid:durableId="434710037">
    <w:abstractNumId w:val="262"/>
  </w:num>
  <w:num w:numId="457" w16cid:durableId="872572154">
    <w:abstractNumId w:val="80"/>
  </w:num>
  <w:num w:numId="458" w16cid:durableId="522323300">
    <w:abstractNumId w:val="68"/>
  </w:num>
  <w:num w:numId="459" w16cid:durableId="213857887">
    <w:abstractNumId w:val="111"/>
  </w:num>
  <w:num w:numId="460" w16cid:durableId="651639162">
    <w:abstractNumId w:val="58"/>
  </w:num>
  <w:num w:numId="461" w16cid:durableId="1028409948">
    <w:abstractNumId w:val="537"/>
  </w:num>
  <w:num w:numId="462" w16cid:durableId="1724787224">
    <w:abstractNumId w:val="574"/>
  </w:num>
  <w:num w:numId="463" w16cid:durableId="76488645">
    <w:abstractNumId w:val="59"/>
  </w:num>
  <w:num w:numId="464" w16cid:durableId="2028561286">
    <w:abstractNumId w:val="259"/>
  </w:num>
  <w:num w:numId="465" w16cid:durableId="1258367534">
    <w:abstractNumId w:val="565"/>
  </w:num>
  <w:num w:numId="466" w16cid:durableId="1515921809">
    <w:abstractNumId w:val="143"/>
  </w:num>
  <w:num w:numId="467" w16cid:durableId="1884171882">
    <w:abstractNumId w:val="343"/>
  </w:num>
  <w:num w:numId="468" w16cid:durableId="1560290597">
    <w:abstractNumId w:val="389"/>
  </w:num>
  <w:num w:numId="469" w16cid:durableId="1101949954">
    <w:abstractNumId w:val="157"/>
  </w:num>
  <w:num w:numId="470" w16cid:durableId="1655647613">
    <w:abstractNumId w:val="182"/>
  </w:num>
  <w:num w:numId="471" w16cid:durableId="436411700">
    <w:abstractNumId w:val="601"/>
  </w:num>
  <w:num w:numId="472" w16cid:durableId="390928513">
    <w:abstractNumId w:val="199"/>
  </w:num>
  <w:num w:numId="473" w16cid:durableId="851837370">
    <w:abstractNumId w:val="618"/>
  </w:num>
  <w:num w:numId="474" w16cid:durableId="2012103020">
    <w:abstractNumId w:val="526"/>
  </w:num>
  <w:num w:numId="475" w16cid:durableId="219367992">
    <w:abstractNumId w:val="535"/>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19"/>
  </w:num>
  <w:num w:numId="478" w16cid:durableId="2071078013">
    <w:abstractNumId w:val="276"/>
  </w:num>
  <w:num w:numId="479" w16cid:durableId="405996736">
    <w:abstractNumId w:val="180"/>
  </w:num>
  <w:num w:numId="480" w16cid:durableId="1642155238">
    <w:abstractNumId w:val="116"/>
  </w:num>
  <w:num w:numId="481" w16cid:durableId="1413309136">
    <w:abstractNumId w:val="45"/>
  </w:num>
  <w:num w:numId="482" w16cid:durableId="976571691">
    <w:abstractNumId w:val="358"/>
  </w:num>
  <w:num w:numId="483" w16cid:durableId="733813620">
    <w:abstractNumId w:val="430"/>
  </w:num>
  <w:num w:numId="484" w16cid:durableId="1105609635">
    <w:abstractNumId w:val="305"/>
  </w:num>
  <w:num w:numId="485" w16cid:durableId="1987398406">
    <w:abstractNumId w:val="560"/>
  </w:num>
  <w:num w:numId="486" w16cid:durableId="1687753861">
    <w:abstractNumId w:val="135"/>
  </w:num>
  <w:num w:numId="487" w16cid:durableId="1672559508">
    <w:abstractNumId w:val="47"/>
  </w:num>
  <w:num w:numId="488" w16cid:durableId="1718121273">
    <w:abstractNumId w:val="397"/>
  </w:num>
  <w:num w:numId="489" w16cid:durableId="519900822">
    <w:abstractNumId w:val="573"/>
  </w:num>
  <w:num w:numId="490" w16cid:durableId="850602460">
    <w:abstractNumId w:val="547"/>
  </w:num>
  <w:num w:numId="491" w16cid:durableId="292908228">
    <w:abstractNumId w:val="332"/>
  </w:num>
  <w:num w:numId="492" w16cid:durableId="1923833589">
    <w:abstractNumId w:val="489"/>
  </w:num>
  <w:num w:numId="493" w16cid:durableId="603223414">
    <w:abstractNumId w:val="213"/>
  </w:num>
  <w:num w:numId="494" w16cid:durableId="1921669983">
    <w:abstractNumId w:val="351"/>
  </w:num>
  <w:num w:numId="495" w16cid:durableId="78138901">
    <w:abstractNumId w:val="98"/>
  </w:num>
  <w:num w:numId="496" w16cid:durableId="1336150392">
    <w:abstractNumId w:val="613"/>
  </w:num>
  <w:num w:numId="497" w16cid:durableId="2088770528">
    <w:abstractNumId w:val="433"/>
  </w:num>
  <w:num w:numId="498" w16cid:durableId="149952613">
    <w:abstractNumId w:val="54"/>
  </w:num>
  <w:num w:numId="499" w16cid:durableId="496073718">
    <w:abstractNumId w:val="431"/>
  </w:num>
  <w:num w:numId="500" w16cid:durableId="1642880102">
    <w:abstractNumId w:val="196"/>
  </w:num>
  <w:num w:numId="501" w16cid:durableId="2080127658">
    <w:abstractNumId w:val="56"/>
  </w:num>
  <w:num w:numId="502" w16cid:durableId="1362121308">
    <w:abstractNumId w:val="36"/>
  </w:num>
  <w:num w:numId="503" w16cid:durableId="2030179636">
    <w:abstractNumId w:val="3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486"/>
  </w:num>
  <w:num w:numId="505" w16cid:durableId="451898722">
    <w:abstractNumId w:val="580"/>
  </w:num>
  <w:num w:numId="506" w16cid:durableId="1943799309">
    <w:abstractNumId w:val="281"/>
  </w:num>
  <w:num w:numId="507" w16cid:durableId="2006008425">
    <w:abstractNumId w:val="617"/>
  </w:num>
  <w:num w:numId="508" w16cid:durableId="2139951819">
    <w:abstractNumId w:val="477"/>
  </w:num>
  <w:num w:numId="509" w16cid:durableId="383800106">
    <w:abstractNumId w:val="60"/>
  </w:num>
  <w:num w:numId="510" w16cid:durableId="951281625">
    <w:abstractNumId w:val="307"/>
  </w:num>
  <w:num w:numId="511" w16cid:durableId="1139807983">
    <w:abstractNumId w:val="542"/>
  </w:num>
  <w:num w:numId="512" w16cid:durableId="381296640">
    <w:abstractNumId w:val="396"/>
  </w:num>
  <w:num w:numId="513" w16cid:durableId="1771200472">
    <w:abstractNumId w:val="584"/>
  </w:num>
  <w:num w:numId="514" w16cid:durableId="528028960">
    <w:abstractNumId w:val="514"/>
  </w:num>
  <w:num w:numId="515" w16cid:durableId="261768329">
    <w:abstractNumId w:val="2"/>
  </w:num>
  <w:num w:numId="516" w16cid:durableId="283660506">
    <w:abstractNumId w:val="440"/>
  </w:num>
  <w:num w:numId="517" w16cid:durableId="1964576333">
    <w:abstractNumId w:val="168"/>
  </w:num>
  <w:num w:numId="518" w16cid:durableId="1247493201">
    <w:abstractNumId w:val="238"/>
  </w:num>
  <w:num w:numId="519" w16cid:durableId="537547240">
    <w:abstractNumId w:val="335"/>
  </w:num>
  <w:num w:numId="520" w16cid:durableId="871305922">
    <w:abstractNumId w:val="571"/>
  </w:num>
  <w:num w:numId="521" w16cid:durableId="1148862682">
    <w:abstractNumId w:val="533"/>
  </w:num>
  <w:num w:numId="522" w16cid:durableId="633802068">
    <w:abstractNumId w:val="78"/>
  </w:num>
  <w:num w:numId="523" w16cid:durableId="132598164">
    <w:abstractNumId w:val="416"/>
  </w:num>
  <w:num w:numId="524" w16cid:durableId="49770122">
    <w:abstractNumId w:val="83"/>
  </w:num>
  <w:num w:numId="525" w16cid:durableId="33387205">
    <w:abstractNumId w:val="468"/>
  </w:num>
  <w:num w:numId="526" w16cid:durableId="1287925835">
    <w:abstractNumId w:val="459"/>
  </w:num>
  <w:num w:numId="527" w16cid:durableId="1953708491">
    <w:abstractNumId w:val="81"/>
  </w:num>
  <w:num w:numId="528" w16cid:durableId="1633822821">
    <w:abstractNumId w:val="72"/>
  </w:num>
  <w:num w:numId="529" w16cid:durableId="1403525143">
    <w:abstractNumId w:val="208"/>
  </w:num>
  <w:num w:numId="530" w16cid:durableId="1339843444">
    <w:abstractNumId w:val="375"/>
  </w:num>
  <w:num w:numId="531" w16cid:durableId="942810285">
    <w:abstractNumId w:val="423"/>
  </w:num>
  <w:num w:numId="532" w16cid:durableId="754478965">
    <w:abstractNumId w:val="149"/>
  </w:num>
  <w:num w:numId="533" w16cid:durableId="922448039">
    <w:abstractNumId w:val="517"/>
  </w:num>
  <w:num w:numId="534" w16cid:durableId="2068381954">
    <w:abstractNumId w:val="454"/>
  </w:num>
  <w:num w:numId="535" w16cid:durableId="1638217000">
    <w:abstractNumId w:val="1"/>
  </w:num>
  <w:num w:numId="536" w16cid:durableId="128666058">
    <w:abstractNumId w:val="283"/>
  </w:num>
  <w:num w:numId="537" w16cid:durableId="125203454">
    <w:abstractNumId w:val="94"/>
  </w:num>
  <w:num w:numId="538" w16cid:durableId="861018058">
    <w:abstractNumId w:val="530"/>
  </w:num>
  <w:num w:numId="539" w16cid:durableId="1752921279">
    <w:abstractNumId w:val="147"/>
  </w:num>
  <w:num w:numId="540" w16cid:durableId="70583013">
    <w:abstractNumId w:val="592"/>
  </w:num>
  <w:num w:numId="541" w16cid:durableId="1106581146">
    <w:abstractNumId w:val="426"/>
  </w:num>
  <w:num w:numId="542" w16cid:durableId="1090732344">
    <w:abstractNumId w:val="568"/>
  </w:num>
  <w:num w:numId="543" w16cid:durableId="875044333">
    <w:abstractNumId w:val="49"/>
  </w:num>
  <w:num w:numId="544" w16cid:durableId="1110003725">
    <w:abstractNumId w:val="13"/>
  </w:num>
  <w:num w:numId="545" w16cid:durableId="959920143">
    <w:abstractNumId w:val="602"/>
  </w:num>
  <w:num w:numId="546" w16cid:durableId="1397358695">
    <w:abstractNumId w:val="546"/>
  </w:num>
  <w:num w:numId="547" w16cid:durableId="711340883">
    <w:abstractNumId w:val="379"/>
  </w:num>
  <w:num w:numId="548" w16cid:durableId="615866319">
    <w:abstractNumId w:val="139"/>
  </w:num>
  <w:num w:numId="549" w16cid:durableId="1433088982">
    <w:abstractNumId w:val="71"/>
  </w:num>
  <w:num w:numId="550" w16cid:durableId="1380084752">
    <w:abstractNumId w:val="344"/>
  </w:num>
  <w:num w:numId="551" w16cid:durableId="1664042457">
    <w:abstractNumId w:val="225"/>
  </w:num>
  <w:num w:numId="552" w16cid:durableId="1796219587">
    <w:abstractNumId w:val="277"/>
  </w:num>
  <w:num w:numId="553" w16cid:durableId="1094058848">
    <w:abstractNumId w:val="603"/>
  </w:num>
  <w:num w:numId="554" w16cid:durableId="1003359951">
    <w:abstractNumId w:val="362"/>
  </w:num>
  <w:num w:numId="555" w16cid:durableId="1119492504">
    <w:abstractNumId w:val="522"/>
  </w:num>
  <w:num w:numId="556" w16cid:durableId="574512301">
    <w:abstractNumId w:val="4"/>
  </w:num>
  <w:num w:numId="557" w16cid:durableId="1724910121">
    <w:abstractNumId w:val="48"/>
  </w:num>
  <w:num w:numId="558" w16cid:durableId="140392569">
    <w:abstractNumId w:val="12"/>
  </w:num>
  <w:num w:numId="559" w16cid:durableId="1199271323">
    <w:abstractNumId w:val="35"/>
  </w:num>
  <w:num w:numId="560" w16cid:durableId="771242374">
    <w:abstractNumId w:val="190"/>
  </w:num>
  <w:num w:numId="561" w16cid:durableId="40329794">
    <w:abstractNumId w:val="557"/>
  </w:num>
  <w:num w:numId="562" w16cid:durableId="1216040945">
    <w:abstractNumId w:val="275"/>
  </w:num>
  <w:num w:numId="563" w16cid:durableId="512107058">
    <w:abstractNumId w:val="184"/>
  </w:num>
  <w:num w:numId="564" w16cid:durableId="575167179">
    <w:abstractNumId w:val="121"/>
  </w:num>
  <w:num w:numId="565" w16cid:durableId="1502575643">
    <w:abstractNumId w:val="263"/>
  </w:num>
  <w:num w:numId="566" w16cid:durableId="1551914716">
    <w:abstractNumId w:val="604"/>
  </w:num>
  <w:num w:numId="567" w16cid:durableId="179200433">
    <w:abstractNumId w:val="136"/>
  </w:num>
  <w:num w:numId="568" w16cid:durableId="288052214">
    <w:abstractNumId w:val="409"/>
  </w:num>
  <w:num w:numId="569" w16cid:durableId="1384251772">
    <w:abstractNumId w:val="278"/>
  </w:num>
  <w:num w:numId="570" w16cid:durableId="831793754">
    <w:abstractNumId w:val="292"/>
  </w:num>
  <w:num w:numId="571" w16cid:durableId="1823349287">
    <w:abstractNumId w:val="504"/>
  </w:num>
  <w:num w:numId="572" w16cid:durableId="2017540158">
    <w:abstractNumId w:val="330"/>
  </w:num>
  <w:num w:numId="573" w16cid:durableId="1912887210">
    <w:abstractNumId w:val="223"/>
  </w:num>
  <w:num w:numId="574" w16cid:durableId="1480345518">
    <w:abstractNumId w:val="236"/>
  </w:num>
  <w:num w:numId="575" w16cid:durableId="575748318">
    <w:abstractNumId w:val="407"/>
  </w:num>
  <w:num w:numId="576" w16cid:durableId="1542404693">
    <w:abstractNumId w:val="227"/>
  </w:num>
  <w:num w:numId="577" w16cid:durableId="386035582">
    <w:abstractNumId w:val="390"/>
  </w:num>
  <w:num w:numId="578" w16cid:durableId="2056808413">
    <w:abstractNumId w:val="353"/>
  </w:num>
  <w:num w:numId="579" w16cid:durableId="1651522557">
    <w:abstractNumId w:val="443"/>
  </w:num>
  <w:num w:numId="580" w16cid:durableId="562912943">
    <w:abstractNumId w:val="234"/>
  </w:num>
  <w:num w:numId="581" w16cid:durableId="449325448">
    <w:abstractNumId w:val="531"/>
  </w:num>
  <w:num w:numId="582" w16cid:durableId="1865168553">
    <w:abstractNumId w:val="32"/>
  </w:num>
  <w:num w:numId="583" w16cid:durableId="823740830">
    <w:abstractNumId w:val="84"/>
  </w:num>
  <w:num w:numId="584" w16cid:durableId="2134203365">
    <w:abstractNumId w:val="444"/>
  </w:num>
  <w:num w:numId="585" w16cid:durableId="485436031">
    <w:abstractNumId w:val="153"/>
  </w:num>
  <w:num w:numId="586" w16cid:durableId="74908024">
    <w:abstractNumId w:val="520"/>
  </w:num>
  <w:num w:numId="587" w16cid:durableId="278686289">
    <w:abstractNumId w:val="441"/>
  </w:num>
  <w:num w:numId="588" w16cid:durableId="1873957098">
    <w:abstractNumId w:val="172"/>
  </w:num>
  <w:num w:numId="589" w16cid:durableId="1429503351">
    <w:abstractNumId w:val="578"/>
  </w:num>
  <w:num w:numId="590" w16cid:durableId="108404417">
    <w:abstractNumId w:val="3"/>
  </w:num>
  <w:num w:numId="591" w16cid:durableId="330105705">
    <w:abstractNumId w:val="288"/>
  </w:num>
  <w:num w:numId="592" w16cid:durableId="1994944006">
    <w:abstractNumId w:val="581"/>
  </w:num>
  <w:num w:numId="593" w16cid:durableId="707220362">
    <w:abstractNumId w:val="193"/>
  </w:num>
  <w:num w:numId="594" w16cid:durableId="168445744">
    <w:abstractNumId w:val="79"/>
  </w:num>
  <w:num w:numId="595" w16cid:durableId="1296444909">
    <w:abstractNumId w:val="406"/>
  </w:num>
  <w:num w:numId="596" w16cid:durableId="176236674">
    <w:abstractNumId w:val="476"/>
  </w:num>
  <w:num w:numId="597" w16cid:durableId="1324746893">
    <w:abstractNumId w:val="85"/>
  </w:num>
  <w:num w:numId="598" w16cid:durableId="1118719474">
    <w:abstractNumId w:val="27"/>
  </w:num>
  <w:num w:numId="599" w16cid:durableId="225991254">
    <w:abstractNumId w:val="55"/>
  </w:num>
  <w:num w:numId="600" w16cid:durableId="1806969033">
    <w:abstractNumId w:val="625"/>
  </w:num>
  <w:num w:numId="601" w16cid:durableId="1542865201">
    <w:abstractNumId w:val="167"/>
  </w:num>
  <w:num w:numId="602" w16cid:durableId="823591320">
    <w:abstractNumId w:val="189"/>
  </w:num>
  <w:num w:numId="603" w16cid:durableId="1612083284">
    <w:abstractNumId w:val="437"/>
  </w:num>
  <w:num w:numId="604" w16cid:durableId="80613507">
    <w:abstractNumId w:val="269"/>
  </w:num>
  <w:num w:numId="605" w16cid:durableId="679433933">
    <w:abstractNumId w:val="210"/>
  </w:num>
  <w:num w:numId="606" w16cid:durableId="1068184379">
    <w:abstractNumId w:val="97"/>
  </w:num>
  <w:num w:numId="607" w16cid:durableId="442653447">
    <w:abstractNumId w:val="15"/>
  </w:num>
  <w:num w:numId="608" w16cid:durableId="1584299879">
    <w:abstractNumId w:val="194"/>
  </w:num>
  <w:num w:numId="609" w16cid:durableId="1921523604">
    <w:abstractNumId w:val="52"/>
  </w:num>
  <w:num w:numId="610" w16cid:durableId="887230075">
    <w:abstractNumId w:val="491"/>
  </w:num>
  <w:num w:numId="611" w16cid:durableId="696320551">
    <w:abstractNumId w:val="232"/>
  </w:num>
  <w:num w:numId="612" w16cid:durableId="1314139593">
    <w:abstractNumId w:val="421"/>
  </w:num>
  <w:num w:numId="613" w16cid:durableId="1032342766">
    <w:abstractNumId w:val="529"/>
  </w:num>
  <w:num w:numId="614" w16cid:durableId="384834264">
    <w:abstractNumId w:val="311"/>
  </w:num>
  <w:num w:numId="615" w16cid:durableId="24987762">
    <w:abstractNumId w:val="525"/>
  </w:num>
  <w:num w:numId="616" w16cid:durableId="170730701">
    <w:abstractNumId w:val="261"/>
  </w:num>
  <w:num w:numId="617" w16cid:durableId="331681343">
    <w:abstractNumId w:val="465"/>
  </w:num>
  <w:num w:numId="618" w16cid:durableId="869029749">
    <w:abstractNumId w:val="26"/>
  </w:num>
  <w:num w:numId="619" w16cid:durableId="1708530737">
    <w:abstractNumId w:val="228"/>
  </w:num>
  <w:num w:numId="620" w16cid:durableId="1287586187">
    <w:abstractNumId w:val="161"/>
  </w:num>
  <w:num w:numId="621" w16cid:durableId="1737586421">
    <w:abstractNumId w:val="174"/>
  </w:num>
  <w:num w:numId="622" w16cid:durableId="1426148774">
    <w:abstractNumId w:val="290"/>
  </w:num>
  <w:num w:numId="623" w16cid:durableId="836189719">
    <w:abstractNumId w:val="203"/>
  </w:num>
  <w:num w:numId="624" w16cid:durableId="952900932">
    <w:abstractNumId w:val="609"/>
  </w:num>
  <w:num w:numId="625" w16cid:durableId="2017882029">
    <w:abstractNumId w:val="271"/>
  </w:num>
  <w:num w:numId="626" w16cid:durableId="451679290">
    <w:abstractNumId w:val="326"/>
  </w:num>
  <w:num w:numId="627" w16cid:durableId="711539106">
    <w:abstractNumId w:val="246"/>
  </w:num>
  <w:num w:numId="628" w16cid:durableId="1240093614">
    <w:abstractNumId w:val="109"/>
  </w:num>
  <w:num w:numId="629" w16cid:durableId="27797925">
    <w:abstractNumId w:val="211"/>
  </w:num>
  <w:num w:numId="630" w16cid:durableId="1678076099">
    <w:abstractNumId w:val="523"/>
  </w:num>
  <w:num w:numId="631" w16cid:durableId="1397433338">
    <w:abstractNumId w:val="242"/>
  </w:num>
  <w:num w:numId="632" w16cid:durableId="2003776095">
    <w:abstractNumId w:val="58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7C8D"/>
    <w:rsid w:val="00080B5E"/>
    <w:rsid w:val="000A1909"/>
    <w:rsid w:val="000A60ED"/>
    <w:rsid w:val="00122C70"/>
    <w:rsid w:val="0014305D"/>
    <w:rsid w:val="0015468B"/>
    <w:rsid w:val="00156473"/>
    <w:rsid w:val="001D25C0"/>
    <w:rsid w:val="001D3923"/>
    <w:rsid w:val="001D67E9"/>
    <w:rsid w:val="001D6884"/>
    <w:rsid w:val="001D7163"/>
    <w:rsid w:val="001E4CFE"/>
    <w:rsid w:val="00226209"/>
    <w:rsid w:val="002528DE"/>
    <w:rsid w:val="002548E6"/>
    <w:rsid w:val="002606FC"/>
    <w:rsid w:val="00275881"/>
    <w:rsid w:val="002B25CB"/>
    <w:rsid w:val="002C0C82"/>
    <w:rsid w:val="002D719B"/>
    <w:rsid w:val="00303A87"/>
    <w:rsid w:val="0030732C"/>
    <w:rsid w:val="00344A41"/>
    <w:rsid w:val="00346E6B"/>
    <w:rsid w:val="003607C5"/>
    <w:rsid w:val="00366C59"/>
    <w:rsid w:val="00385E09"/>
    <w:rsid w:val="003976BE"/>
    <w:rsid w:val="003D0A79"/>
    <w:rsid w:val="003D2036"/>
    <w:rsid w:val="003D2F2E"/>
    <w:rsid w:val="003D4627"/>
    <w:rsid w:val="003E1595"/>
    <w:rsid w:val="003F0E0D"/>
    <w:rsid w:val="00417C58"/>
    <w:rsid w:val="00431006"/>
    <w:rsid w:val="00431501"/>
    <w:rsid w:val="00431BE9"/>
    <w:rsid w:val="004636D0"/>
    <w:rsid w:val="00477892"/>
    <w:rsid w:val="00491EBA"/>
    <w:rsid w:val="004A6A57"/>
    <w:rsid w:val="004B588D"/>
    <w:rsid w:val="004C374F"/>
    <w:rsid w:val="004C4BB4"/>
    <w:rsid w:val="004E7413"/>
    <w:rsid w:val="0050133D"/>
    <w:rsid w:val="00501BE9"/>
    <w:rsid w:val="0050593E"/>
    <w:rsid w:val="00530665"/>
    <w:rsid w:val="00557396"/>
    <w:rsid w:val="005635BB"/>
    <w:rsid w:val="00570855"/>
    <w:rsid w:val="0057268A"/>
    <w:rsid w:val="005729D7"/>
    <w:rsid w:val="0057482D"/>
    <w:rsid w:val="00596782"/>
    <w:rsid w:val="005A2726"/>
    <w:rsid w:val="005C5ACE"/>
    <w:rsid w:val="00606763"/>
    <w:rsid w:val="006315A5"/>
    <w:rsid w:val="00691900"/>
    <w:rsid w:val="006A2FB0"/>
    <w:rsid w:val="006A5206"/>
    <w:rsid w:val="006B3DCD"/>
    <w:rsid w:val="006E53C6"/>
    <w:rsid w:val="00701A17"/>
    <w:rsid w:val="00760F24"/>
    <w:rsid w:val="00763A34"/>
    <w:rsid w:val="00781DD5"/>
    <w:rsid w:val="00782243"/>
    <w:rsid w:val="00792998"/>
    <w:rsid w:val="007A63FA"/>
    <w:rsid w:val="007B0C3B"/>
    <w:rsid w:val="007B4BDD"/>
    <w:rsid w:val="007E6B90"/>
    <w:rsid w:val="008049AB"/>
    <w:rsid w:val="00826E9C"/>
    <w:rsid w:val="008443A3"/>
    <w:rsid w:val="008468D4"/>
    <w:rsid w:val="008900D4"/>
    <w:rsid w:val="008A6337"/>
    <w:rsid w:val="008C065D"/>
    <w:rsid w:val="008C3A5A"/>
    <w:rsid w:val="008C79C5"/>
    <w:rsid w:val="008D0AFC"/>
    <w:rsid w:val="00905082"/>
    <w:rsid w:val="00914B21"/>
    <w:rsid w:val="00922457"/>
    <w:rsid w:val="009366FD"/>
    <w:rsid w:val="00953F61"/>
    <w:rsid w:val="00987AEE"/>
    <w:rsid w:val="009B0A18"/>
    <w:rsid w:val="009C1B6C"/>
    <w:rsid w:val="009D0133"/>
    <w:rsid w:val="009E3DB7"/>
    <w:rsid w:val="009E5063"/>
    <w:rsid w:val="009F6087"/>
    <w:rsid w:val="00A17BEA"/>
    <w:rsid w:val="00A316C9"/>
    <w:rsid w:val="00A42238"/>
    <w:rsid w:val="00A448D2"/>
    <w:rsid w:val="00A90297"/>
    <w:rsid w:val="00A946AF"/>
    <w:rsid w:val="00AA2E73"/>
    <w:rsid w:val="00AB7A8A"/>
    <w:rsid w:val="00AC0A67"/>
    <w:rsid w:val="00AC59FD"/>
    <w:rsid w:val="00AD4009"/>
    <w:rsid w:val="00AD7466"/>
    <w:rsid w:val="00AD7588"/>
    <w:rsid w:val="00AE467A"/>
    <w:rsid w:val="00B01671"/>
    <w:rsid w:val="00B02C9F"/>
    <w:rsid w:val="00B3722D"/>
    <w:rsid w:val="00B8306C"/>
    <w:rsid w:val="00B866F8"/>
    <w:rsid w:val="00B93343"/>
    <w:rsid w:val="00BA48C8"/>
    <w:rsid w:val="00BB12D2"/>
    <w:rsid w:val="00BB14F1"/>
    <w:rsid w:val="00BC06FD"/>
    <w:rsid w:val="00BC0B5C"/>
    <w:rsid w:val="00BC5086"/>
    <w:rsid w:val="00BE15BB"/>
    <w:rsid w:val="00C031C3"/>
    <w:rsid w:val="00C04D65"/>
    <w:rsid w:val="00C10D36"/>
    <w:rsid w:val="00C1419D"/>
    <w:rsid w:val="00C26825"/>
    <w:rsid w:val="00C27E34"/>
    <w:rsid w:val="00C46EAA"/>
    <w:rsid w:val="00C5542D"/>
    <w:rsid w:val="00C850B2"/>
    <w:rsid w:val="00CB1727"/>
    <w:rsid w:val="00CB4E42"/>
    <w:rsid w:val="00CF49B0"/>
    <w:rsid w:val="00CF6D54"/>
    <w:rsid w:val="00D0763A"/>
    <w:rsid w:val="00D1450B"/>
    <w:rsid w:val="00D518D9"/>
    <w:rsid w:val="00D53AC4"/>
    <w:rsid w:val="00D542B4"/>
    <w:rsid w:val="00D616A3"/>
    <w:rsid w:val="00D94E83"/>
    <w:rsid w:val="00D97433"/>
    <w:rsid w:val="00DA2FD9"/>
    <w:rsid w:val="00DA6558"/>
    <w:rsid w:val="00DB5F0E"/>
    <w:rsid w:val="00DB6294"/>
    <w:rsid w:val="00DE426C"/>
    <w:rsid w:val="00DE5690"/>
    <w:rsid w:val="00DE5A5E"/>
    <w:rsid w:val="00E07A91"/>
    <w:rsid w:val="00E206F1"/>
    <w:rsid w:val="00E30A5E"/>
    <w:rsid w:val="00E3337A"/>
    <w:rsid w:val="00E40B37"/>
    <w:rsid w:val="00E551FD"/>
    <w:rsid w:val="00E7590E"/>
    <w:rsid w:val="00E8201B"/>
    <w:rsid w:val="00E83DAE"/>
    <w:rsid w:val="00E84E4F"/>
    <w:rsid w:val="00E86642"/>
    <w:rsid w:val="00EA0BC2"/>
    <w:rsid w:val="00ED49A8"/>
    <w:rsid w:val="00EF1059"/>
    <w:rsid w:val="00F02B5B"/>
    <w:rsid w:val="00F81399"/>
    <w:rsid w:val="00FA0EF5"/>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52A42"/>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tabs>
        <w:tab w:val="num" w:pos="360"/>
      </w:tabs>
      <w:spacing w:line="276" w:lineRule="auto"/>
      <w:ind w:left="0" w:firstLine="0"/>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894</Words>
  <Characters>5098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11</cp:revision>
  <dcterms:created xsi:type="dcterms:W3CDTF">2023-09-20T03:32:00Z</dcterms:created>
  <dcterms:modified xsi:type="dcterms:W3CDTF">2023-11-02T02:38:00Z</dcterms:modified>
</cp:coreProperties>
</file>